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590F5">
      <w:pPr>
        <w:spacing w:line="560" w:lineRule="exact"/>
        <w:rPr>
          <w:rFonts w:hint="eastAsia" w:ascii="方正仿宋_GBK" w:hAnsi="宋体" w:eastAsia="方正仿宋_GBK" w:cs="宋体"/>
          <w:b/>
          <w:kern w:val="0"/>
          <w:sz w:val="32"/>
          <w:szCs w:val="32"/>
          <w:highlight w:val="none"/>
        </w:rPr>
      </w:pPr>
    </w:p>
    <w:p w14:paraId="7886F598">
      <w:pPr>
        <w:spacing w:line="560" w:lineRule="exact"/>
        <w:jc w:val="center"/>
        <w:rPr>
          <w:rFonts w:hint="eastAsia" w:ascii="方正仿宋_GBK" w:hAnsi="宋体" w:eastAsia="方正仿宋_GBK"/>
          <w:b/>
          <w:sz w:val="32"/>
          <w:szCs w:val="32"/>
          <w:highlight w:val="none"/>
        </w:rPr>
      </w:pPr>
    </w:p>
    <w:p w14:paraId="26D6E9A8">
      <w:pPr>
        <w:jc w:val="center"/>
        <w:rPr>
          <w:rFonts w:hint="default" w:ascii="仿宋" w:hAnsi="仿宋" w:eastAsia="仿宋" w:cs="Times New Roman"/>
          <w:spacing w:val="76"/>
          <w:w w:val="80"/>
          <w:sz w:val="52"/>
          <w:szCs w:val="52"/>
          <w:highlight w:val="none"/>
          <w:lang w:val="en-US" w:eastAsia="zh-CN"/>
        </w:rPr>
      </w:pPr>
      <w:r>
        <w:rPr>
          <w:rFonts w:hint="eastAsia" w:ascii="仿宋" w:hAnsi="仿宋" w:eastAsia="仿宋" w:cs="Times New Roman"/>
          <w:spacing w:val="76"/>
          <w:w w:val="80"/>
          <w:sz w:val="52"/>
          <w:szCs w:val="52"/>
          <w:highlight w:val="none"/>
          <w:lang w:val="en-US" w:eastAsia="zh-CN"/>
        </w:rPr>
        <w:t>丰县中小学食堂招标工作组</w:t>
      </w:r>
    </w:p>
    <w:p w14:paraId="6C88CC51">
      <w:pPr>
        <w:jc w:val="center"/>
        <w:rPr>
          <w:rFonts w:hint="eastAsia" w:ascii="仿宋" w:hAnsi="仿宋" w:eastAsia="仿宋" w:cs="Times New Roman"/>
          <w:spacing w:val="76"/>
          <w:w w:val="80"/>
          <w:sz w:val="156"/>
          <w:highlight w:val="none"/>
          <w:lang w:val="en-US" w:eastAsia="zh-CN"/>
        </w:rPr>
      </w:pPr>
      <w:r>
        <w:rPr>
          <w:rFonts w:hint="eastAsia" w:ascii="仿宋" w:hAnsi="仿宋" w:eastAsia="仿宋" w:cs="Times New Roman"/>
          <w:spacing w:val="76"/>
          <w:w w:val="80"/>
          <w:sz w:val="52"/>
          <w:szCs w:val="52"/>
          <w:highlight w:val="none"/>
          <w:lang w:val="en-US" w:eastAsia="zh-CN"/>
        </w:rPr>
        <w:t>公开</w:t>
      </w:r>
      <w:r>
        <w:rPr>
          <w:rFonts w:hint="eastAsia" w:ascii="仿宋" w:hAnsi="仿宋" w:eastAsia="仿宋" w:cs="Times New Roman"/>
          <w:spacing w:val="76"/>
          <w:w w:val="80"/>
          <w:sz w:val="52"/>
          <w:szCs w:val="52"/>
          <w:highlight w:val="none"/>
        </w:rPr>
        <w:t>遴选招标代理机构</w:t>
      </w:r>
      <w:r>
        <w:rPr>
          <w:rFonts w:hint="eastAsia" w:ascii="仿宋" w:hAnsi="仿宋" w:eastAsia="仿宋" w:cs="Times New Roman"/>
          <w:spacing w:val="76"/>
          <w:w w:val="80"/>
          <w:sz w:val="52"/>
          <w:szCs w:val="52"/>
          <w:highlight w:val="none"/>
          <w:lang w:val="en-US" w:eastAsia="zh-CN"/>
        </w:rPr>
        <w:t>公告</w:t>
      </w:r>
    </w:p>
    <w:p w14:paraId="1205F073">
      <w:pPr>
        <w:jc w:val="center"/>
        <w:rPr>
          <w:rFonts w:hint="default" w:ascii="仿宋" w:hAnsi="仿宋" w:eastAsia="仿宋" w:cs="Times New Roman"/>
          <w:spacing w:val="76"/>
          <w:w w:val="80"/>
          <w:sz w:val="52"/>
          <w:szCs w:val="52"/>
          <w:highlight w:val="none"/>
          <w:lang w:val="en-US" w:eastAsia="zh-CN"/>
        </w:rPr>
      </w:pPr>
      <w:r>
        <w:rPr>
          <w:rFonts w:hint="eastAsia" w:ascii="仿宋" w:hAnsi="仿宋" w:eastAsia="仿宋" w:cs="Times New Roman"/>
          <w:spacing w:val="76"/>
          <w:w w:val="80"/>
          <w:sz w:val="52"/>
          <w:szCs w:val="52"/>
          <w:lang w:val="en-US" w:eastAsia="zh-CN"/>
        </w:rPr>
        <w:t>更正内容：响应文件份数</w:t>
      </w:r>
    </w:p>
    <w:p w14:paraId="141607EF">
      <w:pPr>
        <w:ind w:firstLine="1136" w:firstLineChars="200"/>
        <w:jc w:val="left"/>
        <w:rPr>
          <w:rFonts w:hint="default" w:ascii="仿宋" w:hAnsi="仿宋" w:eastAsia="仿宋" w:cs="Times New Roman"/>
          <w:spacing w:val="76"/>
          <w:w w:val="80"/>
          <w:sz w:val="52"/>
          <w:szCs w:val="52"/>
          <w:highlight w:val="none"/>
          <w:lang w:val="en-US" w:eastAsia="zh-CN"/>
        </w:rPr>
      </w:pPr>
    </w:p>
    <w:p w14:paraId="041056F0">
      <w:pPr>
        <w:pStyle w:val="2"/>
        <w:rPr>
          <w:rFonts w:hint="default" w:ascii="仿宋" w:hAnsi="仿宋" w:eastAsia="仿宋" w:cs="Times New Roman"/>
          <w:spacing w:val="76"/>
          <w:w w:val="80"/>
          <w:sz w:val="52"/>
          <w:szCs w:val="52"/>
          <w:highlight w:val="none"/>
          <w:lang w:val="en-US" w:eastAsia="zh-CN"/>
        </w:rPr>
      </w:pPr>
    </w:p>
    <w:p w14:paraId="37ED3BCF">
      <w:pPr>
        <w:pStyle w:val="3"/>
        <w:rPr>
          <w:rFonts w:hint="default"/>
          <w:highlight w:val="none"/>
          <w:lang w:val="en-US" w:eastAsia="zh-CN"/>
        </w:rPr>
      </w:pPr>
    </w:p>
    <w:p w14:paraId="544B7E1E">
      <w:pPr>
        <w:pStyle w:val="37"/>
        <w:spacing w:line="560" w:lineRule="exact"/>
        <w:rPr>
          <w:rFonts w:hint="eastAsia" w:ascii="方正仿宋_GBK" w:eastAsia="方正仿宋_GBK"/>
          <w:sz w:val="32"/>
          <w:szCs w:val="32"/>
          <w:highlight w:val="none"/>
          <w:lang w:eastAsia="zh-CN"/>
        </w:rPr>
      </w:pPr>
    </w:p>
    <w:p w14:paraId="2C3B1A04">
      <w:pPr>
        <w:pStyle w:val="38"/>
        <w:spacing w:line="560" w:lineRule="exact"/>
        <w:rPr>
          <w:rFonts w:hint="eastAsia" w:ascii="方正仿宋_GBK" w:eastAsia="方正仿宋_GBK"/>
          <w:sz w:val="32"/>
          <w:szCs w:val="32"/>
          <w:highlight w:val="none"/>
        </w:rPr>
      </w:pPr>
    </w:p>
    <w:p w14:paraId="6A2461BA">
      <w:pPr>
        <w:pStyle w:val="2"/>
        <w:rPr>
          <w:rFonts w:hint="eastAsia" w:ascii="方正仿宋_GBK" w:hAnsi="宋体" w:eastAsia="方正仿宋_GBK"/>
          <w:sz w:val="32"/>
          <w:szCs w:val="32"/>
          <w:highlight w:val="none"/>
        </w:rPr>
      </w:pPr>
    </w:p>
    <w:p w14:paraId="4010BEAF">
      <w:pPr>
        <w:pStyle w:val="3"/>
        <w:rPr>
          <w:rFonts w:hint="eastAsia" w:ascii="方正仿宋_GBK" w:hAnsi="宋体" w:eastAsia="方正仿宋_GBK"/>
          <w:sz w:val="32"/>
          <w:szCs w:val="32"/>
          <w:highlight w:val="none"/>
        </w:rPr>
      </w:pPr>
    </w:p>
    <w:p w14:paraId="366A14A1">
      <w:pPr>
        <w:pStyle w:val="2"/>
        <w:rPr>
          <w:rFonts w:hint="eastAsia"/>
          <w:highlight w:val="none"/>
        </w:rPr>
      </w:pPr>
    </w:p>
    <w:p w14:paraId="2F478FB2">
      <w:pPr>
        <w:spacing w:line="560" w:lineRule="exact"/>
        <w:rPr>
          <w:rFonts w:hint="eastAsia" w:ascii="方正仿宋_GBK" w:hAnsi="宋体" w:eastAsia="方正仿宋_GBK"/>
          <w:sz w:val="32"/>
          <w:szCs w:val="32"/>
          <w:highlight w:val="none"/>
        </w:rPr>
      </w:pPr>
    </w:p>
    <w:p w14:paraId="67607D19">
      <w:pPr>
        <w:pStyle w:val="37"/>
        <w:spacing w:line="560" w:lineRule="exact"/>
        <w:rPr>
          <w:rFonts w:hint="eastAsia" w:ascii="方正仿宋_GBK" w:eastAsia="方正仿宋_GBK"/>
          <w:sz w:val="32"/>
          <w:szCs w:val="32"/>
          <w:highlight w:val="none"/>
          <w:lang w:eastAsia="zh-CN"/>
        </w:rPr>
      </w:pPr>
    </w:p>
    <w:p w14:paraId="4BB9CBF8">
      <w:pPr>
        <w:pStyle w:val="37"/>
        <w:spacing w:line="560" w:lineRule="exact"/>
        <w:rPr>
          <w:rFonts w:hint="eastAsia" w:ascii="方正仿宋_GBK" w:eastAsia="方正仿宋_GBK"/>
          <w:sz w:val="32"/>
          <w:szCs w:val="32"/>
          <w:highlight w:val="none"/>
          <w:lang w:eastAsia="zh-CN"/>
        </w:rPr>
      </w:pPr>
    </w:p>
    <w:p w14:paraId="4A962E2D">
      <w:pPr>
        <w:pStyle w:val="37"/>
        <w:spacing w:line="560" w:lineRule="exact"/>
        <w:rPr>
          <w:rFonts w:hint="eastAsia" w:ascii="方正仿宋_GBK" w:eastAsia="方正仿宋_GBK"/>
          <w:sz w:val="32"/>
          <w:szCs w:val="32"/>
          <w:highlight w:val="none"/>
          <w:lang w:eastAsia="zh-CN"/>
        </w:rPr>
      </w:pPr>
    </w:p>
    <w:p w14:paraId="7BAC1553">
      <w:pPr>
        <w:spacing w:line="560" w:lineRule="exact"/>
        <w:rPr>
          <w:rFonts w:hint="eastAsia" w:ascii="方正仿宋_GBK" w:hAnsi="宋体" w:eastAsia="方正仿宋_GBK"/>
          <w:sz w:val="32"/>
          <w:szCs w:val="32"/>
          <w:highlight w:val="none"/>
        </w:rPr>
      </w:pPr>
    </w:p>
    <w:p w14:paraId="4E012BDB">
      <w:pPr>
        <w:spacing w:line="560" w:lineRule="exact"/>
        <w:ind w:firstLine="640" w:firstLineChars="200"/>
        <w:jc w:val="center"/>
        <w:rPr>
          <w:rFonts w:hint="eastAsia" w:ascii="仿宋" w:hAnsi="仿宋" w:eastAsia="仿宋" w:cs="仿宋"/>
          <w:bCs/>
          <w:sz w:val="32"/>
          <w:szCs w:val="32"/>
          <w:highlight w:val="none"/>
          <w:lang w:val="en-US" w:eastAsia="zh-CN"/>
        </w:rPr>
      </w:pPr>
      <w:r>
        <w:rPr>
          <w:rFonts w:hint="eastAsia" w:ascii="仿宋" w:hAnsi="仿宋" w:eastAsia="仿宋" w:cs="仿宋"/>
          <w:bCs/>
          <w:sz w:val="32"/>
          <w:szCs w:val="32"/>
          <w:highlight w:val="none"/>
          <w:lang w:val="en-US" w:eastAsia="zh-CN"/>
        </w:rPr>
        <w:t>丰县中小学食堂招标工作组</w:t>
      </w:r>
    </w:p>
    <w:p w14:paraId="52C2EE39">
      <w:pPr>
        <w:spacing w:line="560" w:lineRule="exact"/>
        <w:ind w:firstLine="640" w:firstLineChars="200"/>
        <w:jc w:val="center"/>
        <w:rPr>
          <w:rFonts w:hint="eastAsia" w:ascii="仿宋" w:hAnsi="仿宋" w:eastAsia="仿宋" w:cs="仿宋"/>
          <w:bCs/>
          <w:sz w:val="32"/>
          <w:szCs w:val="32"/>
          <w:highlight w:val="none"/>
        </w:rPr>
      </w:pPr>
      <w:r>
        <w:rPr>
          <w:rFonts w:hint="eastAsia" w:ascii="仿宋" w:hAnsi="仿宋" w:eastAsia="仿宋" w:cs="仿宋"/>
          <w:bCs/>
          <w:sz w:val="32"/>
          <w:szCs w:val="32"/>
          <w:highlight w:val="none"/>
        </w:rPr>
        <w:t>202</w:t>
      </w:r>
      <w:r>
        <w:rPr>
          <w:rFonts w:hint="eastAsia" w:ascii="仿宋" w:hAnsi="仿宋" w:eastAsia="仿宋" w:cs="仿宋"/>
          <w:bCs/>
          <w:sz w:val="32"/>
          <w:szCs w:val="32"/>
          <w:highlight w:val="none"/>
          <w:lang w:val="en-US" w:eastAsia="zh-CN"/>
        </w:rPr>
        <w:t>6</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7</w:t>
      </w:r>
      <w:r>
        <w:rPr>
          <w:rFonts w:hint="eastAsia" w:ascii="仿宋" w:hAnsi="仿宋" w:eastAsia="仿宋" w:cs="仿宋"/>
          <w:bCs/>
          <w:sz w:val="32"/>
          <w:szCs w:val="32"/>
          <w:highlight w:val="none"/>
        </w:rPr>
        <w:t>月</w:t>
      </w:r>
    </w:p>
    <w:p w14:paraId="1B39E88F">
      <w:pPr>
        <w:spacing w:line="560" w:lineRule="exact"/>
        <w:jc w:val="center"/>
        <w:rPr>
          <w:rFonts w:hint="eastAsia" w:ascii="方正仿宋_GBK" w:hAnsi="宋体" w:eastAsia="方正仿宋_GBK"/>
          <w:sz w:val="32"/>
          <w:szCs w:val="32"/>
          <w:highlight w:val="none"/>
        </w:rPr>
      </w:pPr>
    </w:p>
    <w:p w14:paraId="2B2E7641">
      <w:pPr>
        <w:rPr>
          <w:rFonts w:hint="eastAsia" w:ascii="方正仿宋_GBK" w:hAnsi="宋体" w:eastAsia="方正仿宋_GBK"/>
          <w:sz w:val="32"/>
          <w:szCs w:val="32"/>
          <w:highlight w:val="none"/>
        </w:rPr>
      </w:pPr>
      <w:bookmarkStart w:id="0" w:name="_Toc320622500"/>
      <w:r>
        <w:rPr>
          <w:rFonts w:hint="eastAsia" w:ascii="方正仿宋_GBK" w:hAnsi="宋体" w:eastAsia="方正仿宋_GBK"/>
          <w:sz w:val="32"/>
          <w:szCs w:val="32"/>
          <w:highlight w:val="none"/>
        </w:rPr>
        <w:br w:type="page"/>
      </w:r>
    </w:p>
    <w:p w14:paraId="7C3F4ED1">
      <w:pPr>
        <w:rPr>
          <w:rFonts w:hint="eastAsia"/>
        </w:rPr>
        <w:sectPr>
          <w:footerReference r:id="rId3" w:type="default"/>
          <w:pgSz w:w="11906" w:h="16838"/>
          <w:pgMar w:top="1418" w:right="1134" w:bottom="1247" w:left="1418" w:header="851" w:footer="992" w:gutter="0"/>
          <w:cols w:space="720" w:num="1"/>
          <w:docGrid w:type="linesAndChars" w:linePitch="312" w:charSpace="0"/>
        </w:sectPr>
      </w:pPr>
    </w:p>
    <w:p w14:paraId="307B6100">
      <w:pPr>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第一章</w:t>
      </w:r>
      <w:r>
        <w:rPr>
          <w:rFonts w:hint="eastAsia" w:ascii="仿宋" w:hAnsi="仿宋" w:eastAsia="仿宋" w:cs="Times New Roman"/>
          <w:sz w:val="30"/>
          <w:szCs w:val="30"/>
          <w:highlight w:val="none"/>
          <w:lang w:val="en-US" w:eastAsia="zh-CN"/>
        </w:rPr>
        <w:t xml:space="preserve"> </w:t>
      </w:r>
      <w:r>
        <w:rPr>
          <w:rFonts w:hint="eastAsia" w:ascii="仿宋" w:hAnsi="仿宋" w:eastAsia="仿宋" w:cs="Times New Roman"/>
          <w:sz w:val="30"/>
          <w:szCs w:val="30"/>
          <w:highlight w:val="none"/>
        </w:rPr>
        <w:t>参与遴选单位须知</w:t>
      </w:r>
      <w:bookmarkEnd w:id="0"/>
    </w:p>
    <w:p w14:paraId="0844F81F">
      <w:pPr>
        <w:jc w:val="center"/>
        <w:rPr>
          <w:rFonts w:hint="eastAsia" w:ascii="仿宋" w:hAnsi="仿宋" w:eastAsia="仿宋" w:cs="Times New Roman"/>
          <w:sz w:val="30"/>
          <w:szCs w:val="30"/>
          <w:highlight w:val="none"/>
        </w:rPr>
      </w:pPr>
      <w:bookmarkStart w:id="1" w:name="_Toc320622501"/>
      <w:r>
        <w:rPr>
          <w:rFonts w:hint="eastAsia" w:ascii="仿宋" w:hAnsi="仿宋" w:eastAsia="仿宋" w:cs="Times New Roman"/>
          <w:sz w:val="30"/>
          <w:szCs w:val="30"/>
          <w:highlight w:val="none"/>
        </w:rPr>
        <w:t>一、遴选须知前附表</w:t>
      </w:r>
      <w:bookmarkEnd w:id="1"/>
    </w:p>
    <w:tbl>
      <w:tblPr>
        <w:tblStyle w:val="22"/>
        <w:tblW w:w="1050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194"/>
        <w:gridCol w:w="7350"/>
      </w:tblGrid>
      <w:tr w14:paraId="7DB3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956" w:type="dxa"/>
            <w:vAlign w:val="center"/>
          </w:tcPr>
          <w:p w14:paraId="58EF7CCD">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项号</w:t>
            </w:r>
          </w:p>
        </w:tc>
        <w:tc>
          <w:tcPr>
            <w:tcW w:w="2194" w:type="dxa"/>
            <w:vAlign w:val="center"/>
          </w:tcPr>
          <w:p w14:paraId="76939F82">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内容</w:t>
            </w:r>
          </w:p>
        </w:tc>
        <w:tc>
          <w:tcPr>
            <w:tcW w:w="7350" w:type="dxa"/>
            <w:vAlign w:val="center"/>
          </w:tcPr>
          <w:p w14:paraId="185B32AB">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说明与要求</w:t>
            </w:r>
          </w:p>
        </w:tc>
      </w:tr>
      <w:tr w14:paraId="4B8BE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956" w:type="dxa"/>
            <w:vAlign w:val="center"/>
          </w:tcPr>
          <w:p w14:paraId="6B789625">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194" w:type="dxa"/>
            <w:vAlign w:val="center"/>
          </w:tcPr>
          <w:p w14:paraId="0C2507D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7350" w:type="dxa"/>
            <w:vAlign w:val="center"/>
          </w:tcPr>
          <w:p w14:paraId="03AAD3CC">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2026年</w:t>
            </w: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sz w:val="24"/>
                <w:szCs w:val="24"/>
                <w:highlight w:val="none"/>
              </w:rPr>
              <w:t>招标工作组遴选招标代理机构项目</w:t>
            </w:r>
          </w:p>
        </w:tc>
      </w:tr>
      <w:tr w14:paraId="3074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56" w:type="dxa"/>
            <w:vAlign w:val="center"/>
          </w:tcPr>
          <w:p w14:paraId="508D38D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194" w:type="dxa"/>
            <w:vAlign w:val="center"/>
          </w:tcPr>
          <w:p w14:paraId="54CAB0C0">
            <w:pPr>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代理范围</w:t>
            </w:r>
          </w:p>
        </w:tc>
        <w:tc>
          <w:tcPr>
            <w:tcW w:w="7350" w:type="dxa"/>
            <w:vAlign w:val="center"/>
          </w:tcPr>
          <w:p w14:paraId="7EEBA05F">
            <w:pPr>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招标代理业务</w:t>
            </w:r>
          </w:p>
        </w:tc>
      </w:tr>
      <w:tr w14:paraId="2A9D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956" w:type="dxa"/>
            <w:vAlign w:val="center"/>
          </w:tcPr>
          <w:p w14:paraId="78106D1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194" w:type="dxa"/>
            <w:vAlign w:val="center"/>
          </w:tcPr>
          <w:p w14:paraId="2935EEB6">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服务期限</w:t>
            </w:r>
          </w:p>
        </w:tc>
        <w:tc>
          <w:tcPr>
            <w:tcW w:w="7350" w:type="dxa"/>
            <w:vAlign w:val="center"/>
          </w:tcPr>
          <w:p w14:paraId="15139090">
            <w:pPr>
              <w:spacing w:line="500" w:lineRule="exact"/>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至2026年</w:t>
            </w:r>
            <w:r>
              <w:rPr>
                <w:rFonts w:hint="eastAsia" w:ascii="仿宋" w:hAnsi="仿宋" w:eastAsia="仿宋" w:cs="仿宋"/>
                <w:sz w:val="24"/>
                <w:szCs w:val="24"/>
                <w:highlight w:val="none"/>
              </w:rPr>
              <w:t>丰县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食材采购、校外配餐企业合同签订完毕</w:t>
            </w:r>
          </w:p>
        </w:tc>
      </w:tr>
      <w:tr w14:paraId="0760E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56" w:type="dxa"/>
            <w:vAlign w:val="center"/>
          </w:tcPr>
          <w:p w14:paraId="7EE8631B">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2194" w:type="dxa"/>
            <w:vAlign w:val="center"/>
          </w:tcPr>
          <w:p w14:paraId="342F02CA">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报价方式</w:t>
            </w:r>
          </w:p>
        </w:tc>
        <w:tc>
          <w:tcPr>
            <w:tcW w:w="7350" w:type="dxa"/>
            <w:vAlign w:val="center"/>
          </w:tcPr>
          <w:p w14:paraId="0A8ABC27">
            <w:pPr>
              <w:spacing w:line="5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见</w:t>
            </w:r>
            <w:r>
              <w:rPr>
                <w:rFonts w:hint="eastAsia" w:ascii="仿宋" w:hAnsi="仿宋" w:eastAsia="仿宋" w:cs="仿宋"/>
                <w:sz w:val="24"/>
                <w:szCs w:val="24"/>
                <w:highlight w:val="none"/>
                <w:lang w:eastAsia="zh-CN"/>
              </w:rPr>
              <w:t>遴选报价</w:t>
            </w:r>
            <w:r>
              <w:rPr>
                <w:rFonts w:hint="eastAsia" w:ascii="仿宋" w:hAnsi="仿宋" w:eastAsia="仿宋" w:cs="仿宋"/>
                <w:sz w:val="24"/>
                <w:szCs w:val="24"/>
                <w:highlight w:val="none"/>
                <w:lang w:val="en-US" w:eastAsia="zh-CN"/>
              </w:rPr>
              <w:t>说明</w:t>
            </w:r>
          </w:p>
        </w:tc>
      </w:tr>
      <w:tr w14:paraId="7A2D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56" w:type="dxa"/>
            <w:vAlign w:val="center"/>
          </w:tcPr>
          <w:p w14:paraId="2B06B20D">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2194" w:type="dxa"/>
            <w:vAlign w:val="center"/>
          </w:tcPr>
          <w:p w14:paraId="3AE9730A">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7350" w:type="dxa"/>
            <w:vAlign w:val="center"/>
          </w:tcPr>
          <w:p w14:paraId="28EF2A10">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4B3B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56" w:type="dxa"/>
            <w:vAlign w:val="center"/>
          </w:tcPr>
          <w:p w14:paraId="3F0A52E2">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2194" w:type="dxa"/>
            <w:vAlign w:val="center"/>
          </w:tcPr>
          <w:p w14:paraId="0A1A7FFF">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遴选有效期</w:t>
            </w:r>
          </w:p>
        </w:tc>
        <w:tc>
          <w:tcPr>
            <w:tcW w:w="7350" w:type="dxa"/>
            <w:vAlign w:val="center"/>
          </w:tcPr>
          <w:p w14:paraId="35AD0F96">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30</w:t>
            </w:r>
            <w:r>
              <w:rPr>
                <w:rFonts w:hint="eastAsia" w:ascii="仿宋" w:hAnsi="仿宋" w:eastAsia="仿宋" w:cs="仿宋"/>
                <w:sz w:val="24"/>
                <w:szCs w:val="24"/>
                <w:highlight w:val="none"/>
              </w:rPr>
              <w:t>日历天(从遴选截止之日算起)</w:t>
            </w:r>
          </w:p>
        </w:tc>
      </w:tr>
      <w:tr w14:paraId="40170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956" w:type="dxa"/>
            <w:vAlign w:val="center"/>
          </w:tcPr>
          <w:p w14:paraId="4E18E809">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2194" w:type="dxa"/>
            <w:vAlign w:val="center"/>
          </w:tcPr>
          <w:p w14:paraId="2C8A7BDC">
            <w:pPr>
              <w:spacing w:line="5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响应文件份数</w:t>
            </w:r>
          </w:p>
        </w:tc>
        <w:tc>
          <w:tcPr>
            <w:tcW w:w="7350" w:type="dxa"/>
            <w:vAlign w:val="center"/>
          </w:tcPr>
          <w:p w14:paraId="57BE718D">
            <w:pPr>
              <w:spacing w:line="5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正本</w:t>
            </w:r>
            <w:r>
              <w:rPr>
                <w:rFonts w:hint="eastAsia" w:ascii="仿宋" w:hAnsi="仿宋" w:eastAsia="仿宋" w:cs="仿宋"/>
                <w:sz w:val="24"/>
                <w:szCs w:val="24"/>
                <w:highlight w:val="none"/>
                <w:u w:val="single"/>
              </w:rPr>
              <w:t>壹</w:t>
            </w:r>
            <w:r>
              <w:rPr>
                <w:rFonts w:hint="eastAsia" w:ascii="仿宋" w:hAnsi="仿宋" w:eastAsia="仿宋" w:cs="仿宋"/>
                <w:sz w:val="24"/>
                <w:szCs w:val="24"/>
                <w:highlight w:val="none"/>
              </w:rPr>
              <w:t>份，</w:t>
            </w:r>
            <w:r>
              <w:rPr>
                <w:rFonts w:hint="eastAsia" w:ascii="仿宋" w:hAnsi="仿宋" w:eastAsia="仿宋" w:cs="仿宋"/>
                <w:sz w:val="24"/>
                <w:szCs w:val="24"/>
                <w:highlight w:val="none"/>
                <w:shd w:val="clear" w:color="auto" w:fill="FFFFFF"/>
              </w:rPr>
              <w:t>副本</w:t>
            </w:r>
            <w:r>
              <w:rPr>
                <w:rFonts w:hint="eastAsia" w:ascii="仿宋" w:hAnsi="仿宋" w:eastAsia="仿宋" w:cs="仿宋"/>
                <w:sz w:val="24"/>
                <w:szCs w:val="24"/>
                <w:highlight w:val="none"/>
                <w:u w:val="single"/>
                <w:shd w:val="clear" w:color="auto" w:fill="FFFFFF"/>
                <w:lang w:val="en-US" w:eastAsia="zh-CN"/>
              </w:rPr>
              <w:t>肆</w:t>
            </w:r>
            <w:r>
              <w:rPr>
                <w:rFonts w:hint="eastAsia" w:ascii="仿宋" w:hAnsi="仿宋" w:eastAsia="仿宋" w:cs="仿宋"/>
                <w:sz w:val="24"/>
                <w:szCs w:val="24"/>
                <w:highlight w:val="none"/>
                <w:shd w:val="clear" w:color="auto" w:fill="FFFFFF"/>
              </w:rPr>
              <w:t>份</w:t>
            </w:r>
            <w:r>
              <w:rPr>
                <w:rFonts w:hint="eastAsia" w:ascii="仿宋" w:hAnsi="仿宋" w:eastAsia="仿宋" w:cs="仿宋"/>
                <w:sz w:val="24"/>
                <w:szCs w:val="24"/>
                <w:highlight w:val="none"/>
                <w:shd w:val="clear" w:color="auto" w:fill="FFFFFF"/>
                <w:lang w:eastAsia="zh-CN"/>
              </w:rPr>
              <w:t>，</w:t>
            </w:r>
            <w:r>
              <w:rPr>
                <w:rFonts w:hint="eastAsia" w:ascii="仿宋" w:hAnsi="仿宋" w:eastAsia="仿宋" w:cs="仿宋"/>
                <w:sz w:val="24"/>
                <w:szCs w:val="24"/>
                <w:highlight w:val="none"/>
                <w:shd w:val="clear" w:color="auto" w:fill="FFFFFF"/>
                <w:lang w:val="en-US" w:eastAsia="zh-CN"/>
              </w:rPr>
              <w:t>PDF版电子投标文件</w:t>
            </w:r>
            <w:r>
              <w:rPr>
                <w:rFonts w:hint="eastAsia" w:ascii="仿宋" w:hAnsi="仿宋" w:eastAsia="仿宋" w:cs="仿宋"/>
                <w:sz w:val="24"/>
                <w:szCs w:val="24"/>
                <w:highlight w:val="none"/>
                <w:u w:val="single"/>
              </w:rPr>
              <w:t>壹</w:t>
            </w:r>
            <w:r>
              <w:rPr>
                <w:rFonts w:hint="eastAsia" w:ascii="仿宋" w:hAnsi="仿宋" w:eastAsia="仿宋" w:cs="仿宋"/>
                <w:sz w:val="24"/>
                <w:szCs w:val="24"/>
                <w:highlight w:val="none"/>
              </w:rPr>
              <w:t>份</w:t>
            </w:r>
          </w:p>
        </w:tc>
      </w:tr>
      <w:tr w14:paraId="6D5EC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56" w:type="dxa"/>
            <w:vAlign w:val="center"/>
          </w:tcPr>
          <w:p w14:paraId="4E1EA52D">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194" w:type="dxa"/>
            <w:vAlign w:val="center"/>
          </w:tcPr>
          <w:p w14:paraId="08B37E40">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响应文件递交</w:t>
            </w:r>
          </w:p>
          <w:p w14:paraId="68FF1AFD">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地点及截止时间</w:t>
            </w:r>
          </w:p>
        </w:tc>
        <w:tc>
          <w:tcPr>
            <w:tcW w:w="7350" w:type="dxa"/>
            <w:vAlign w:val="center"/>
          </w:tcPr>
          <w:p w14:paraId="1DBB4F87">
            <w:pP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现场递交时间：</w:t>
            </w:r>
            <w:bookmarkStart w:id="2" w:name="OLE_LINK5"/>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上午9:00-</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30</w:t>
            </w:r>
            <w:bookmarkEnd w:id="2"/>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北京时间</w:t>
            </w:r>
            <w:r>
              <w:rPr>
                <w:rFonts w:hint="eastAsia" w:ascii="仿宋" w:hAnsi="仿宋" w:eastAsia="仿宋" w:cs="仿宋"/>
                <w:color w:val="auto"/>
                <w:sz w:val="24"/>
                <w:szCs w:val="24"/>
                <w:highlight w:val="none"/>
                <w:lang w:eastAsia="zh-CN"/>
              </w:rPr>
              <w:t>）</w:t>
            </w:r>
          </w:p>
          <w:p w14:paraId="370C76C8">
            <w:pPr>
              <w:spacing w:line="500" w:lineRule="exac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递交地址：丰县凤城实验学校实验楼四楼录播教室</w:t>
            </w:r>
            <w:r>
              <w:rPr>
                <w:rFonts w:hint="eastAsia" w:ascii="仿宋" w:hAnsi="仿宋" w:eastAsia="仿宋" w:cs="仿宋"/>
                <w:color w:val="auto"/>
                <w:sz w:val="24"/>
                <w:szCs w:val="24"/>
                <w:highlight w:val="none"/>
                <w:lang w:val="en-US" w:eastAsia="zh-CN"/>
              </w:rPr>
              <w:t>2</w:t>
            </w:r>
          </w:p>
        </w:tc>
      </w:tr>
      <w:tr w14:paraId="42B9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956" w:type="dxa"/>
            <w:vAlign w:val="center"/>
          </w:tcPr>
          <w:p w14:paraId="689F0E1A">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194" w:type="dxa"/>
            <w:vAlign w:val="center"/>
          </w:tcPr>
          <w:p w14:paraId="38ECD762">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w:t>
            </w:r>
          </w:p>
        </w:tc>
        <w:tc>
          <w:tcPr>
            <w:tcW w:w="7350" w:type="dxa"/>
            <w:vAlign w:val="center"/>
          </w:tcPr>
          <w:p w14:paraId="710F9F91">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上午</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北京时间</w:t>
            </w:r>
            <w:r>
              <w:rPr>
                <w:rFonts w:hint="eastAsia" w:ascii="仿宋" w:hAnsi="仿宋" w:eastAsia="仿宋" w:cs="仿宋"/>
                <w:color w:val="auto"/>
                <w:sz w:val="24"/>
                <w:szCs w:val="24"/>
                <w:highlight w:val="none"/>
                <w:lang w:eastAsia="zh-CN"/>
              </w:rPr>
              <w:t>）</w:t>
            </w:r>
          </w:p>
          <w:p w14:paraId="0CF233C8">
            <w:pPr>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形式：线下开标</w:t>
            </w:r>
          </w:p>
        </w:tc>
      </w:tr>
      <w:tr w14:paraId="0583B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6" w:type="dxa"/>
            <w:vAlign w:val="center"/>
          </w:tcPr>
          <w:p w14:paraId="5755A0BA">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194" w:type="dxa"/>
            <w:vAlign w:val="center"/>
          </w:tcPr>
          <w:p w14:paraId="0B03EACC">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7350" w:type="dxa"/>
            <w:vAlign w:val="center"/>
          </w:tcPr>
          <w:p w14:paraId="305344D0">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0A33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29CE31B2">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194" w:type="dxa"/>
            <w:vAlign w:val="center"/>
          </w:tcPr>
          <w:p w14:paraId="66553A07">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遴选方式</w:t>
            </w:r>
          </w:p>
        </w:tc>
        <w:tc>
          <w:tcPr>
            <w:tcW w:w="7350" w:type="dxa"/>
            <w:vAlign w:val="center"/>
          </w:tcPr>
          <w:p w14:paraId="6E9FF981">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公开遴选</w:t>
            </w:r>
          </w:p>
        </w:tc>
      </w:tr>
      <w:tr w14:paraId="37C3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7D0D2040">
            <w:pPr>
              <w:spacing w:line="500" w:lineRule="exact"/>
              <w:jc w:val="center"/>
              <w:rPr>
                <w:rFonts w:hint="eastAsia" w:ascii="仿宋" w:hAnsi="仿宋" w:eastAsia="仿宋" w:cs="仿宋"/>
                <w:color w:val="auto"/>
                <w:sz w:val="24"/>
                <w:szCs w:val="24"/>
                <w:highlight w:val="none"/>
              </w:rPr>
            </w:pPr>
            <w:bookmarkStart w:id="3" w:name="_Toc320622502"/>
            <w:r>
              <w:rPr>
                <w:rFonts w:hint="eastAsia" w:ascii="仿宋" w:hAnsi="仿宋" w:eastAsia="仿宋" w:cs="仿宋"/>
                <w:color w:val="auto"/>
                <w:sz w:val="24"/>
                <w:szCs w:val="24"/>
                <w:highlight w:val="none"/>
              </w:rPr>
              <w:t>12</w:t>
            </w:r>
          </w:p>
        </w:tc>
        <w:tc>
          <w:tcPr>
            <w:tcW w:w="2194" w:type="dxa"/>
            <w:vAlign w:val="center"/>
          </w:tcPr>
          <w:p w14:paraId="7B9B386C">
            <w:pPr>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遴选数量</w:t>
            </w:r>
          </w:p>
        </w:tc>
        <w:tc>
          <w:tcPr>
            <w:tcW w:w="7350" w:type="dxa"/>
            <w:vAlign w:val="center"/>
          </w:tcPr>
          <w:p w14:paraId="0CD08D22">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通过遴选方式确定1家采购代理机构承接</w:t>
            </w:r>
            <w:r>
              <w:rPr>
                <w:rFonts w:hint="eastAsia" w:ascii="仿宋" w:hAnsi="仿宋" w:eastAsia="仿宋" w:cs="仿宋"/>
                <w:color w:val="000000" w:themeColor="text1"/>
                <w:sz w:val="24"/>
                <w:szCs w:val="24"/>
                <w:highlight w:val="none"/>
                <w:lang w:val="en-US" w:eastAsia="zh-CN"/>
                <w14:textFill>
                  <w14:solidFill>
                    <w14:schemeClr w14:val="tx1"/>
                  </w14:solidFill>
                </w14:textFill>
              </w:rPr>
              <w:t>丰县中小学食堂食材采购、校外配餐企业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auto"/>
                <w:sz w:val="24"/>
                <w:szCs w:val="24"/>
                <w:highlight w:val="none"/>
              </w:rPr>
              <w:t>代理项目</w:t>
            </w:r>
          </w:p>
        </w:tc>
      </w:tr>
      <w:tr w14:paraId="26E9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5EC9C3F1">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194" w:type="dxa"/>
            <w:vAlign w:val="center"/>
          </w:tcPr>
          <w:p w14:paraId="7D0720AD">
            <w:pPr>
              <w:spacing w:line="5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遴选</w:t>
            </w:r>
            <w:r>
              <w:rPr>
                <w:rFonts w:hint="eastAsia" w:ascii="仿宋" w:hAnsi="仿宋" w:eastAsia="仿宋" w:cs="仿宋"/>
                <w:color w:val="auto"/>
                <w:sz w:val="24"/>
                <w:szCs w:val="24"/>
                <w:highlight w:val="none"/>
                <w:lang w:val="en-US" w:eastAsia="zh-CN"/>
              </w:rPr>
              <w:t>结果</w:t>
            </w:r>
          </w:p>
        </w:tc>
        <w:tc>
          <w:tcPr>
            <w:tcW w:w="7350" w:type="dxa"/>
            <w:vAlign w:val="center"/>
          </w:tcPr>
          <w:p w14:paraId="223559AF">
            <w:pPr>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详见丰县人民政府官网公告</w:t>
            </w:r>
          </w:p>
        </w:tc>
      </w:tr>
      <w:tr w14:paraId="3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vAlign w:val="center"/>
          </w:tcPr>
          <w:p w14:paraId="473B7DF7">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194" w:type="dxa"/>
            <w:vAlign w:val="center"/>
          </w:tcPr>
          <w:p w14:paraId="202E43AB">
            <w:pPr>
              <w:spacing w:line="5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p>
        </w:tc>
        <w:tc>
          <w:tcPr>
            <w:tcW w:w="7350" w:type="dxa"/>
            <w:vAlign w:val="center"/>
          </w:tcPr>
          <w:p w14:paraId="19DEE249">
            <w:pPr>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联系人：于  宁</w:t>
            </w:r>
          </w:p>
          <w:p w14:paraId="467FF57E">
            <w:pPr>
              <w:pStyle w:val="2"/>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联系电话：0516-80396951</w:t>
            </w:r>
          </w:p>
        </w:tc>
      </w:tr>
    </w:tbl>
    <w:p w14:paraId="364FBC6B">
      <w:pPr>
        <w:jc w:val="center"/>
        <w:rPr>
          <w:rFonts w:hint="eastAsia" w:ascii="仿宋" w:hAnsi="仿宋" w:eastAsia="仿宋" w:cs="Times New Roman"/>
          <w:color w:val="auto"/>
          <w:sz w:val="30"/>
          <w:szCs w:val="30"/>
          <w:highlight w:val="none"/>
        </w:rPr>
      </w:pPr>
    </w:p>
    <w:p w14:paraId="75E80753">
      <w:pPr>
        <w:jc w:val="both"/>
        <w:rPr>
          <w:rFonts w:hint="eastAsia" w:ascii="仿宋" w:hAnsi="仿宋" w:eastAsia="仿宋" w:cs="Times New Roman"/>
          <w:sz w:val="30"/>
          <w:szCs w:val="30"/>
          <w:highlight w:val="none"/>
        </w:rPr>
      </w:pPr>
    </w:p>
    <w:p w14:paraId="6B4E98ED">
      <w:pPr>
        <w:pStyle w:val="2"/>
        <w:rPr>
          <w:rFonts w:hint="eastAsia"/>
          <w:highlight w:val="none"/>
        </w:rPr>
      </w:pPr>
    </w:p>
    <w:p w14:paraId="5306E35F">
      <w:pPr>
        <w:keepNext w:val="0"/>
        <w:keepLines w:val="0"/>
        <w:pageBreakBefore w:val="0"/>
        <w:widowControl w:val="0"/>
        <w:kinsoku/>
        <w:wordWrap/>
        <w:topLinePunct w:val="0"/>
        <w:bidi w:val="0"/>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二、参与遴选单位须知</w:t>
      </w:r>
      <w:bookmarkEnd w:id="3"/>
    </w:p>
    <w:p w14:paraId="4A4D9A1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4" w:name="_Toc320622503"/>
      <w:r>
        <w:rPr>
          <w:rFonts w:hint="eastAsia" w:ascii="仿宋" w:hAnsi="仿宋" w:eastAsia="仿宋" w:cs="仿宋"/>
          <w:sz w:val="24"/>
          <w:szCs w:val="24"/>
          <w:highlight w:val="none"/>
          <w:lang w:val="en-US" w:eastAsia="zh-CN"/>
        </w:rPr>
        <w:t>(一)总则</w:t>
      </w:r>
      <w:bookmarkEnd w:id="4"/>
    </w:p>
    <w:p w14:paraId="1E1D316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项目概况</w:t>
      </w:r>
    </w:p>
    <w:p w14:paraId="60FC4BF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为规范资金执行过程和资金使用行为，提高资金使用效益，根据《中华人民共和国招标投标法》《中华人民共和国政府采购法》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江苏省中小学阳光食堂信息化监管服务平台业务指引（修订版）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等有关</w:t>
      </w:r>
      <w:r>
        <w:rPr>
          <w:rFonts w:hint="eastAsia" w:ascii="仿宋" w:hAnsi="仿宋" w:eastAsia="仿宋" w:cs="仿宋"/>
          <w:color w:val="auto"/>
          <w:sz w:val="24"/>
          <w:szCs w:val="24"/>
          <w:highlight w:val="none"/>
          <w:lang w:val="en-US" w:eastAsia="zh-CN"/>
        </w:rPr>
        <w:t>法律法规</w:t>
      </w:r>
      <w:r>
        <w:rPr>
          <w:rFonts w:hint="eastAsia" w:ascii="仿宋" w:hAnsi="仿宋" w:eastAsia="仿宋" w:cs="仿宋"/>
          <w:color w:val="auto"/>
          <w:sz w:val="24"/>
          <w:szCs w:val="24"/>
          <w:highlight w:val="none"/>
        </w:rPr>
        <w:t>，本项目拟通过公开遴选方式确定1家</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代理机构承接</w:t>
      </w:r>
      <w:r>
        <w:rPr>
          <w:rFonts w:hint="eastAsia" w:ascii="仿宋" w:hAnsi="仿宋" w:eastAsia="仿宋" w:cs="仿宋"/>
          <w:color w:val="auto"/>
          <w:sz w:val="24"/>
          <w:szCs w:val="24"/>
          <w:highlight w:val="none"/>
          <w:lang w:val="en-US" w:eastAsia="zh-CN"/>
        </w:rPr>
        <w:t>2026-2027学年度丰县中小学食堂食材采购、校外供餐单位</w:t>
      </w:r>
      <w:r>
        <w:rPr>
          <w:rFonts w:hint="eastAsia" w:ascii="仿宋" w:hAnsi="仿宋" w:eastAsia="仿宋" w:cs="仿宋"/>
          <w:color w:val="auto"/>
          <w:sz w:val="24"/>
          <w:szCs w:val="24"/>
          <w:highlight w:val="none"/>
        </w:rPr>
        <w:t>招标代理项目。</w:t>
      </w:r>
    </w:p>
    <w:p w14:paraId="49FA90D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参与遴选单位资格要求：</w:t>
      </w:r>
    </w:p>
    <w:p w14:paraId="2C92EFE8">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符合下列规定，并提供证明材料：</w:t>
      </w:r>
    </w:p>
    <w:p w14:paraId="1C0A576C">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具有独立承担民事责任的能力，提供法人或其他组织的营业执照等证明文件，复印件加盖公章；</w:t>
      </w:r>
    </w:p>
    <w:p w14:paraId="53C8904B">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法人代表授权书(原件)及法定代表人、授权代表身份证复印件(如果是法定代表人直接参与投标的可以不提供授权书)；</w:t>
      </w:r>
    </w:p>
    <w:p w14:paraId="505460B7">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投标人必须遵守中华人民共和国的相关</w:t>
      </w:r>
      <w:r>
        <w:rPr>
          <w:rFonts w:hint="eastAsia" w:ascii="仿宋" w:hAnsi="仿宋" w:eastAsia="仿宋" w:cs="仿宋"/>
          <w:sz w:val="24"/>
          <w:szCs w:val="24"/>
          <w:highlight w:val="none"/>
          <w:lang w:eastAsia="zh-CN"/>
        </w:rPr>
        <w:t>法律、法规</w:t>
      </w:r>
      <w:r>
        <w:rPr>
          <w:rFonts w:hint="eastAsia" w:ascii="仿宋" w:hAnsi="仿宋" w:eastAsia="仿宋" w:cs="仿宋"/>
          <w:sz w:val="24"/>
          <w:szCs w:val="24"/>
          <w:highlight w:val="none"/>
        </w:rPr>
        <w:t>，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仿宋" w:hAnsi="仿宋" w:eastAsia="仿宋" w:cs="仿宋"/>
          <w:sz w:val="24"/>
          <w:szCs w:val="24"/>
          <w:highlight w:val="none"/>
          <w:lang w:eastAsia="zh-CN"/>
        </w:rPr>
        <w:t>2025</w:t>
      </w:r>
      <w:r>
        <w:rPr>
          <w:rFonts w:hint="eastAsia" w:ascii="仿宋" w:hAnsi="仿宋" w:eastAsia="仿宋" w:cs="仿宋"/>
          <w:sz w:val="24"/>
          <w:szCs w:val="24"/>
          <w:highlight w:val="none"/>
        </w:rPr>
        <w:t>年度经审计的财务报告复印件，加盖公章；</w:t>
      </w:r>
    </w:p>
    <w:p w14:paraId="500F33A8">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具有履行合同所必需的设备和专业技术能力(根据项目需求提供履行合同所必需的设备和专业技术能力的证明材料或相关加盖公章的承诺函，承诺函自行编写);</w:t>
      </w:r>
    </w:p>
    <w:p w14:paraId="723D9270">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rPr>
        <w:t>参加本次采购活动前三年内，在经营活动中没有重大违法记录（请提供前3年内在经营活动中没有重大违法记录的书面声明）；</w:t>
      </w:r>
    </w:p>
    <w:p w14:paraId="3F27CDCC">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有依法缴纳税收的良好记录，提供距开标时间六个月内任意一月份的纳税凭据复印件加盖公章(依法免税的应提供相应文件说明);</w:t>
      </w:r>
    </w:p>
    <w:p w14:paraId="750ECF5E">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2.7</w:t>
      </w:r>
      <w:r>
        <w:rPr>
          <w:rFonts w:hint="eastAsia" w:ascii="仿宋" w:hAnsi="仿宋" w:eastAsia="仿宋" w:cs="仿宋"/>
          <w:sz w:val="24"/>
          <w:szCs w:val="24"/>
          <w:highlight w:val="none"/>
        </w:rPr>
        <w:t>有依法缴纳社会保障资金的良好记录，提供距开标时间六个月内任意一月份的依法缴纳社会保障资金的凭据复印件加盖公章;</w:t>
      </w:r>
    </w:p>
    <w:p w14:paraId="54363532">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rPr>
        <w:t>供应商必须在中国政府采购网、江苏省政府采购网完成政府采购代理机构网上登记(提供网页截图);</w:t>
      </w:r>
    </w:p>
    <w:p w14:paraId="3EA3964E">
      <w:pPr>
        <w:pStyle w:val="38"/>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供应商应有固定办公场所和组织招标必备的场地及设备设施。(提供相应的所有权或使用权证明材料)。</w:t>
      </w:r>
    </w:p>
    <w:p w14:paraId="24CA11B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事项：</w:t>
      </w:r>
    </w:p>
    <w:p w14:paraId="77158798">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3.1</w:t>
      </w:r>
      <w:r>
        <w:rPr>
          <w:rFonts w:hint="eastAsia" w:ascii="仿宋" w:hAnsi="仿宋" w:eastAsia="仿宋" w:cs="仿宋"/>
          <w:kern w:val="2"/>
          <w:sz w:val="24"/>
          <w:szCs w:val="24"/>
          <w:highlight w:val="none"/>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0FFFB953">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3.2</w:t>
      </w:r>
      <w:r>
        <w:rPr>
          <w:rFonts w:hint="eastAsia" w:ascii="仿宋" w:hAnsi="仿宋" w:eastAsia="仿宋" w:cs="仿宋"/>
          <w:kern w:val="2"/>
          <w:sz w:val="24"/>
          <w:szCs w:val="24"/>
          <w:highlight w:val="none"/>
          <w:lang w:eastAsia="zh-CN"/>
        </w:rPr>
        <w:t>拒绝列入失信被执行人、重大税收违法失信主体、政府采购严重违法失信行为记录名单的供应商参与采购活动。</w:t>
      </w:r>
    </w:p>
    <w:p w14:paraId="6075563B">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3.3</w:t>
      </w:r>
      <w:r>
        <w:rPr>
          <w:rFonts w:hint="eastAsia" w:ascii="仿宋" w:hAnsi="仿宋" w:eastAsia="仿宋" w:cs="仿宋"/>
          <w:kern w:val="2"/>
          <w:sz w:val="24"/>
          <w:szCs w:val="24"/>
          <w:highlight w:val="none"/>
          <w:lang w:eastAsia="zh-CN"/>
        </w:rPr>
        <w:t>参与遴选单位准备和参加遴选活动发生的一切费用自理。</w:t>
      </w:r>
    </w:p>
    <w:p w14:paraId="1079EE4D">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3.4</w:t>
      </w:r>
      <w:r>
        <w:rPr>
          <w:rFonts w:hint="eastAsia" w:ascii="仿宋" w:hAnsi="仿宋" w:eastAsia="仿宋" w:cs="仿宋"/>
          <w:kern w:val="2"/>
          <w:sz w:val="24"/>
          <w:szCs w:val="24"/>
          <w:highlight w:val="none"/>
          <w:lang w:eastAsia="zh-CN"/>
        </w:rPr>
        <w:t>不接受联合体投标。</w:t>
      </w:r>
    </w:p>
    <w:p w14:paraId="30B7C3C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5" w:name="_Toc320622504"/>
      <w:r>
        <w:rPr>
          <w:rFonts w:hint="eastAsia" w:ascii="仿宋" w:hAnsi="仿宋" w:eastAsia="仿宋" w:cs="仿宋"/>
          <w:sz w:val="24"/>
          <w:szCs w:val="24"/>
          <w:highlight w:val="none"/>
          <w:lang w:val="en-US" w:eastAsia="zh-CN"/>
        </w:rPr>
        <w:t>(二)</w:t>
      </w:r>
      <w:bookmarkEnd w:id="5"/>
      <w:r>
        <w:rPr>
          <w:rFonts w:hint="eastAsia" w:ascii="仿宋" w:hAnsi="仿宋" w:eastAsia="仿宋" w:cs="仿宋"/>
          <w:sz w:val="24"/>
          <w:szCs w:val="24"/>
          <w:highlight w:val="none"/>
          <w:lang w:val="en-US" w:eastAsia="zh-CN"/>
        </w:rPr>
        <w:t>遴选文件</w:t>
      </w:r>
    </w:p>
    <w:p w14:paraId="14DEB842">
      <w:pPr>
        <w:keepNext w:val="0"/>
        <w:keepLines w:val="0"/>
        <w:pageBreakBefore w:val="0"/>
        <w:widowControl w:val="0"/>
        <w:kinsoku/>
        <w:wordWrap/>
        <w:topLinePunct w:val="0"/>
        <w:bidi w:val="0"/>
        <w:adjustRightInd w:val="0"/>
        <w:snapToGrid w:val="0"/>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遴选文件的组成</w:t>
      </w:r>
    </w:p>
    <w:p w14:paraId="3F4F8555">
      <w:pPr>
        <w:keepNext w:val="0"/>
        <w:keepLines w:val="0"/>
        <w:pageBreakBefore w:val="0"/>
        <w:widowControl w:val="0"/>
        <w:kinsoku/>
        <w:wordWrap/>
        <w:topLinePunct w:val="0"/>
        <w:bidi w:val="0"/>
        <w:adjustRightInd w:val="0"/>
        <w:snapToGrid w:val="0"/>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遴选文件除本文件内容外，采购人以公告形式发出的对遴选文件的澄清或修改内容，均为遴选文件的组成部分，对采购人和参与遴选单位起约束作用。</w:t>
      </w:r>
    </w:p>
    <w:p w14:paraId="3174841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遴选文件的修改</w:t>
      </w:r>
    </w:p>
    <w:p w14:paraId="5DFBA025">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.1遴选截止时间</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日前，采购人可能会以补充通知的方式修改遴选文件，补充通知将作为遴选文件的组成部分，具有与遴选文件同等效力。</w:t>
      </w:r>
    </w:p>
    <w:p w14:paraId="193BA41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2补充将以公告形式在网上发布。当遴选文件、遴选文件的澄清、修改、补充通知等对同一内容的表述不一致时，以最后在网上发出的公告或文件为准。参与遴选单位须密切关注采购人网上发布的遴选文件的澄清、修改、补充通知、招标答疑等相关信息，采购人不承担因参与遴选单位未能全面掌握全部招标信息而产生的所有后果。</w:t>
      </w:r>
    </w:p>
    <w:p w14:paraId="201257AD">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.3为使参与遴选单位在编制响应文件时，将补充通知修改的内容考虑进去，采购人可以在必要时延长遴选截止时间(延长时间在补充通知中写明)。</w:t>
      </w:r>
    </w:p>
    <w:p w14:paraId="7ABA5B7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6" w:name="_Toc320622505"/>
      <w:r>
        <w:rPr>
          <w:rFonts w:hint="eastAsia" w:ascii="仿宋" w:hAnsi="仿宋" w:eastAsia="仿宋" w:cs="仿宋"/>
          <w:sz w:val="24"/>
          <w:szCs w:val="24"/>
          <w:highlight w:val="none"/>
          <w:lang w:val="en-US" w:eastAsia="zh-CN"/>
        </w:rPr>
        <w:t>(三)</w:t>
      </w:r>
      <w:bookmarkEnd w:id="6"/>
      <w:r>
        <w:rPr>
          <w:rFonts w:hint="eastAsia" w:ascii="仿宋" w:hAnsi="仿宋" w:eastAsia="仿宋" w:cs="仿宋"/>
          <w:sz w:val="24"/>
          <w:szCs w:val="24"/>
          <w:highlight w:val="none"/>
          <w:lang w:val="en-US" w:eastAsia="zh-CN"/>
        </w:rPr>
        <w:t>响应文件</w:t>
      </w:r>
    </w:p>
    <w:p w14:paraId="5A53D958">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参与遴选单位应认真阅读遴选文件的所有内容，未按遴选文件要求编制的响应文件将被拒绝。</w:t>
      </w:r>
    </w:p>
    <w:p w14:paraId="5DC5DB3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响应文件包括以下内容：</w:t>
      </w:r>
    </w:p>
    <w:p w14:paraId="0A778315">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7.1</w:t>
      </w:r>
      <w:r>
        <w:rPr>
          <w:rFonts w:hint="eastAsia" w:ascii="仿宋" w:hAnsi="仿宋" w:eastAsia="仿宋" w:cs="仿宋"/>
          <w:sz w:val="24"/>
          <w:szCs w:val="24"/>
          <w:highlight w:val="none"/>
        </w:rPr>
        <w:t>遴选响应函；</w:t>
      </w:r>
    </w:p>
    <w:p w14:paraId="25EC75A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7.2</w:t>
      </w:r>
      <w:r>
        <w:rPr>
          <w:rFonts w:hint="eastAsia" w:ascii="仿宋" w:hAnsi="仿宋" w:eastAsia="仿宋" w:cs="仿宋"/>
          <w:sz w:val="24"/>
          <w:szCs w:val="24"/>
          <w:highlight w:val="none"/>
        </w:rPr>
        <w:t>企业法人营业执照副本；</w:t>
      </w:r>
    </w:p>
    <w:p w14:paraId="7B6A43E8">
      <w:pPr>
        <w:keepNext w:val="0"/>
        <w:keepLines w:val="0"/>
        <w:pageBreakBefore w:val="0"/>
        <w:widowControl w:val="0"/>
        <w:tabs>
          <w:tab w:val="left" w:pos="651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7.3</w:t>
      </w:r>
      <w:r>
        <w:rPr>
          <w:rFonts w:hint="eastAsia" w:ascii="仿宋" w:hAnsi="仿宋" w:eastAsia="仿宋" w:cs="仿宋"/>
          <w:sz w:val="24"/>
          <w:szCs w:val="24"/>
          <w:highlight w:val="none"/>
        </w:rPr>
        <w:t>资格证明文件；</w:t>
      </w:r>
    </w:p>
    <w:p w14:paraId="36BC1CF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7.4</w:t>
      </w:r>
      <w:r>
        <w:rPr>
          <w:rFonts w:hint="eastAsia" w:ascii="仿宋" w:hAnsi="仿宋" w:eastAsia="仿宋" w:cs="仿宋"/>
          <w:sz w:val="24"/>
          <w:szCs w:val="24"/>
          <w:highlight w:val="none"/>
        </w:rPr>
        <w:t>法定代表人的授权委托书；</w:t>
      </w:r>
    </w:p>
    <w:p w14:paraId="69B0B334">
      <w:pPr>
        <w:keepNext w:val="0"/>
        <w:keepLines w:val="0"/>
        <w:pageBreakBefore w:val="0"/>
        <w:widowControl w:val="0"/>
        <w:tabs>
          <w:tab w:val="left" w:pos="588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7.5</w:t>
      </w:r>
      <w:r>
        <w:rPr>
          <w:rFonts w:hint="eastAsia" w:ascii="仿宋" w:hAnsi="仿宋" w:eastAsia="仿宋" w:cs="仿宋"/>
          <w:sz w:val="24"/>
          <w:szCs w:val="24"/>
          <w:highlight w:val="none"/>
        </w:rPr>
        <w:t>报价函；</w:t>
      </w:r>
    </w:p>
    <w:p w14:paraId="3AD7D2EB">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7.6</w:t>
      </w:r>
      <w:r>
        <w:rPr>
          <w:rFonts w:hint="eastAsia" w:ascii="仿宋" w:hAnsi="仿宋" w:eastAsia="仿宋" w:cs="仿宋"/>
          <w:sz w:val="24"/>
          <w:szCs w:val="24"/>
          <w:highlight w:val="none"/>
        </w:rPr>
        <w:t>代理服务方案、承诺（采购实施方案、答复质疑处理方案、协助投诉处理方案等）；</w:t>
      </w:r>
    </w:p>
    <w:p w14:paraId="04C352F9">
      <w:pPr>
        <w:keepNext w:val="0"/>
        <w:keepLines w:val="0"/>
        <w:pageBreakBefore w:val="0"/>
        <w:widowControl w:val="0"/>
        <w:tabs>
          <w:tab w:val="center" w:pos="4560"/>
        </w:tabs>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7.7</w:t>
      </w:r>
      <w:r>
        <w:rPr>
          <w:rFonts w:hint="eastAsia" w:ascii="仿宋" w:hAnsi="仿宋" w:eastAsia="仿宋" w:cs="仿宋"/>
          <w:sz w:val="24"/>
          <w:szCs w:val="24"/>
          <w:highlight w:val="none"/>
        </w:rPr>
        <w:t>代理服务人员配备，专业相关资格证书；</w:t>
      </w:r>
    </w:p>
    <w:p w14:paraId="5452C68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7.8</w:t>
      </w:r>
      <w:r>
        <w:rPr>
          <w:rFonts w:hint="eastAsia" w:ascii="仿宋" w:hAnsi="仿宋" w:eastAsia="仿宋" w:cs="仿宋"/>
          <w:sz w:val="24"/>
          <w:szCs w:val="24"/>
          <w:highlight w:val="none"/>
        </w:rPr>
        <w:t>开标、评标场地和设施设备说明(需提供办公场所及开标评标场所地址、面积、开评标室布局情况及照片)；</w:t>
      </w:r>
    </w:p>
    <w:p w14:paraId="0696884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7.9</w:t>
      </w:r>
      <w:r>
        <w:rPr>
          <w:rFonts w:hint="eastAsia" w:ascii="仿宋" w:hAnsi="仿宋" w:eastAsia="仿宋" w:cs="仿宋"/>
          <w:sz w:val="24"/>
          <w:szCs w:val="24"/>
          <w:highlight w:val="none"/>
        </w:rPr>
        <w:t>参与遴选单位业绩；</w:t>
      </w:r>
    </w:p>
    <w:p w14:paraId="57F7BD59">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lang w:val="en-US" w:eastAsia="zh-CN"/>
        </w:rPr>
        <w:t>7.10遴选</w:t>
      </w:r>
      <w:r>
        <w:rPr>
          <w:rFonts w:hint="eastAsia" w:ascii="仿宋" w:hAnsi="仿宋" w:eastAsia="仿宋" w:cs="仿宋"/>
          <w:kern w:val="2"/>
          <w:sz w:val="24"/>
          <w:szCs w:val="24"/>
          <w:highlight w:val="none"/>
          <w:lang w:eastAsia="zh-CN"/>
        </w:rPr>
        <w:t>文件要求提供的其他相关材料。</w:t>
      </w:r>
    </w:p>
    <w:p w14:paraId="5627F531">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参与遴选单位必须编制一份响应文件“正本”和前附表所要求份数的“副本”，并明确标明“正本”和“副本”。响应文件正本和副本如有不一致之处，以正本为准。</w:t>
      </w:r>
    </w:p>
    <w:p w14:paraId="55F64E4A">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响应文件正本与副本均应使用不能擦去的墨水书写或打印，并由参与遴选单位的法定代表人（负责人）或委托代理人签字，委托代理人必须有授权委托书。全套响应文件应无涂改和行间插字，除非这些删改是根据采购人的指示进行的，或者是参与遴选单位造成的必须修改的错误。修改处应由响应文件签署人签字。</w:t>
      </w:r>
    </w:p>
    <w:p w14:paraId="65263F87">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遴选有效期</w:t>
      </w:r>
    </w:p>
    <w:p w14:paraId="0760054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响应文件自遴选截止时间起至遴选须知前附表规定的时间内有效。</w:t>
      </w:r>
    </w:p>
    <w:p w14:paraId="0400A46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遴选保证金：无。</w:t>
      </w:r>
    </w:p>
    <w:p w14:paraId="710A11B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7" w:name="_Toc320622506"/>
      <w:r>
        <w:rPr>
          <w:rFonts w:hint="eastAsia" w:ascii="仿宋" w:hAnsi="仿宋" w:eastAsia="仿宋" w:cs="仿宋"/>
          <w:sz w:val="24"/>
          <w:szCs w:val="24"/>
          <w:highlight w:val="none"/>
          <w:lang w:val="en-US" w:eastAsia="zh-CN"/>
        </w:rPr>
        <w:t>(四)遴选报价</w:t>
      </w:r>
      <w:bookmarkEnd w:id="7"/>
    </w:p>
    <w:p w14:paraId="2A57B750">
      <w:pPr>
        <w:pStyle w:val="64"/>
        <w:keepNext w:val="0"/>
        <w:keepLines w:val="0"/>
        <w:pageBreakBefore w:val="0"/>
        <w:widowControl w:val="0"/>
        <w:kinsoku/>
        <w:wordWrap/>
        <w:topLinePunct w:val="0"/>
        <w:bidi w:val="0"/>
        <w:spacing w:before="0" w:beforeAutospacing="0" w:after="0" w:afterAutospacing="0" w:line="560" w:lineRule="exact"/>
        <w:ind w:left="558" w:leftChars="266"/>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w:t>
      </w: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rPr>
        <w:t>各遴选单位报价需符合以下要求：</w:t>
      </w:r>
    </w:p>
    <w:p w14:paraId="02203356">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bookmarkStart w:id="8" w:name="_Hlk177134597"/>
      <w:r>
        <w:rPr>
          <w:rFonts w:hint="eastAsia" w:ascii="仿宋" w:hAnsi="仿宋" w:eastAsia="仿宋" w:cs="仿宋"/>
          <w:color w:val="auto"/>
          <w:sz w:val="24"/>
          <w:szCs w:val="24"/>
          <w:highlight w:val="none"/>
          <w:lang w:val="en-US" w:eastAsia="zh-CN"/>
        </w:rPr>
        <w:t>12.1</w:t>
      </w:r>
      <w:r>
        <w:rPr>
          <w:rFonts w:hint="eastAsia" w:ascii="仿宋" w:hAnsi="仿宋" w:eastAsia="仿宋" w:cs="仿宋"/>
          <w:color w:val="auto"/>
          <w:sz w:val="24"/>
          <w:szCs w:val="24"/>
          <w:highlight w:val="none"/>
        </w:rPr>
        <w:t>招标代理服务费由项目</w:t>
      </w:r>
      <w:r>
        <w:rPr>
          <w:rFonts w:hint="eastAsia" w:ascii="仿宋" w:hAnsi="仿宋" w:eastAsia="仿宋" w:cs="仿宋"/>
          <w:color w:val="auto"/>
          <w:sz w:val="24"/>
          <w:szCs w:val="24"/>
          <w:highlight w:val="none"/>
          <w:lang w:val="en-US" w:eastAsia="zh-CN"/>
        </w:rPr>
        <w:t>入围/中标供应商</w:t>
      </w:r>
      <w:r>
        <w:rPr>
          <w:rFonts w:hint="eastAsia" w:ascii="仿宋" w:hAnsi="仿宋" w:eastAsia="仿宋" w:cs="仿宋"/>
          <w:color w:val="auto"/>
          <w:sz w:val="24"/>
          <w:szCs w:val="24"/>
          <w:highlight w:val="none"/>
        </w:rPr>
        <w:t>支付给代理机构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采购人不支付任何费用</w:t>
      </w:r>
      <w:r>
        <w:rPr>
          <w:rFonts w:hint="eastAsia" w:ascii="仿宋" w:hAnsi="仿宋" w:eastAsia="仿宋" w:cs="仿宋"/>
          <w:color w:val="auto"/>
          <w:sz w:val="24"/>
          <w:szCs w:val="24"/>
          <w:highlight w:val="none"/>
        </w:rPr>
        <w:t>。</w:t>
      </w:r>
    </w:p>
    <w:p w14:paraId="587EF574">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采购招标过程中所发生的各项有关费用包括</w:t>
      </w:r>
      <w:r>
        <w:rPr>
          <w:rFonts w:hint="eastAsia" w:ascii="仿宋" w:hAnsi="仿宋" w:eastAsia="仿宋" w:cs="仿宋"/>
          <w:color w:val="auto"/>
          <w:sz w:val="24"/>
          <w:szCs w:val="24"/>
          <w:highlight w:val="none"/>
          <w:lang w:val="en-US" w:eastAsia="zh-CN"/>
        </w:rPr>
        <w:t>但不限于拟定、</w:t>
      </w:r>
      <w:r>
        <w:rPr>
          <w:rFonts w:hint="eastAsia" w:ascii="仿宋" w:hAnsi="仿宋" w:eastAsia="仿宋" w:cs="仿宋"/>
          <w:color w:val="auto"/>
          <w:sz w:val="24"/>
          <w:szCs w:val="24"/>
          <w:highlight w:val="none"/>
        </w:rPr>
        <w:t>印制各种文件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发布招标公告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开标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评标场地租用费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现场踏勘费用，公证费用，相关成员（资格审查工作组、开标监督组、评标委员会等）的</w:t>
      </w:r>
      <w:r>
        <w:rPr>
          <w:rFonts w:hint="eastAsia" w:ascii="仿宋" w:hAnsi="仿宋" w:eastAsia="仿宋" w:cs="仿宋"/>
          <w:color w:val="auto"/>
          <w:sz w:val="24"/>
          <w:szCs w:val="24"/>
          <w:highlight w:val="none"/>
        </w:rPr>
        <w:t>评审费、差旅费、食宿费等</w:t>
      </w:r>
      <w:r>
        <w:rPr>
          <w:rFonts w:hint="eastAsia" w:ascii="仿宋" w:hAnsi="仿宋" w:eastAsia="仿宋" w:cs="仿宋"/>
          <w:color w:val="auto"/>
          <w:sz w:val="24"/>
          <w:szCs w:val="24"/>
          <w:highlight w:val="none"/>
          <w:lang w:val="en-US" w:eastAsia="zh-CN"/>
        </w:rPr>
        <w:t>招标相关费用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均</w:t>
      </w:r>
      <w:r>
        <w:rPr>
          <w:rFonts w:hint="eastAsia" w:ascii="仿宋" w:hAnsi="仿宋" w:eastAsia="仿宋" w:cs="仿宋"/>
          <w:color w:val="auto"/>
          <w:sz w:val="24"/>
          <w:szCs w:val="24"/>
          <w:highlight w:val="none"/>
        </w:rPr>
        <w:t>由招标代理机构承担。</w:t>
      </w:r>
    </w:p>
    <w:p w14:paraId="082265C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12.2.1标段分类与计费基数：本次中小学食堂食材招标以学校分组和食材分组互相组合，确定最终标段数量，招标方式分为两类：①“评标竞价”方式：评标委员会根据供应商报价、服务方案、企业实力、履约和服务能力等因素，综合评分确定中标供应商，每个标段中标供应商为1家，单个此类中标标段代理服务费计费基数上限为5000元；②“实际竞价”方式：通过资格审查的供应商（即入围供应商）在入围有效期内可参与相应的食材投标，该类标段不收取任何代理服务费。中小学校外供餐企业入围项目，入围供应商代理服务费计费基数上限为10000元。</w:t>
      </w:r>
    </w:p>
    <w:p w14:paraId="2604529F">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2费率约定与计费公式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代理服务费率由参与遴选</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自主填报，填报费率最高不得超过100%；填报费率超出100%的，其响应文件按无效处理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中小学食堂食材招标“评标竞价”方式中标供应商</w:t>
      </w:r>
      <w:r>
        <w:rPr>
          <w:rFonts w:hint="eastAsia" w:ascii="仿宋" w:hAnsi="仿宋" w:eastAsia="仿宋" w:cs="仿宋"/>
          <w:color w:val="auto"/>
          <w:sz w:val="24"/>
          <w:szCs w:val="24"/>
          <w:highlight w:val="none"/>
        </w:rPr>
        <w:t>单个标段代理服务费=5000元计费基数×</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“实际竞价”方式</w:t>
      </w:r>
      <w:r>
        <w:rPr>
          <w:rFonts w:hint="eastAsia" w:ascii="仿宋" w:hAnsi="仿宋" w:eastAsia="仿宋" w:cs="仿宋"/>
          <w:color w:val="auto"/>
          <w:sz w:val="24"/>
          <w:szCs w:val="24"/>
          <w:highlight w:val="none"/>
          <w:lang w:val="en-US" w:eastAsia="zh-CN"/>
        </w:rPr>
        <w:t>标段</w:t>
      </w:r>
      <w:r>
        <w:rPr>
          <w:rFonts w:hint="eastAsia" w:ascii="仿宋" w:hAnsi="仿宋" w:eastAsia="仿宋" w:cs="仿宋"/>
          <w:color w:val="auto"/>
          <w:sz w:val="24"/>
          <w:szCs w:val="24"/>
          <w:highlight w:val="none"/>
        </w:rPr>
        <w:t>，免收代理服务费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中小学校外供餐企业入围项目入围供应商代理服务费=10000元计费基数</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p>
    <w:p w14:paraId="3CD2AE4B">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12.2.</w:t>
      </w:r>
      <w:r>
        <w:rPr>
          <w:rFonts w:hint="eastAsia" w:ascii="仿宋" w:hAnsi="仿宋" w:eastAsia="仿宋" w:cs="仿宋"/>
          <w:color w:val="auto"/>
          <w:sz w:val="24"/>
          <w:szCs w:val="24"/>
          <w:highlight w:val="none"/>
        </w:rPr>
        <w:t>3多标段中标计费规则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同一供应商同时取得多个</w:t>
      </w:r>
      <w:r>
        <w:rPr>
          <w:rFonts w:hint="eastAsia" w:ascii="仿宋" w:hAnsi="仿宋" w:eastAsia="仿宋" w:cs="仿宋"/>
          <w:color w:val="auto"/>
          <w:sz w:val="24"/>
          <w:szCs w:val="24"/>
          <w:highlight w:val="none"/>
          <w:lang w:val="en-US" w:eastAsia="zh-CN"/>
        </w:rPr>
        <w:t>学校分组</w:t>
      </w:r>
      <w:r>
        <w:rPr>
          <w:rFonts w:hint="eastAsia" w:ascii="仿宋" w:hAnsi="仿宋" w:eastAsia="仿宋" w:cs="仿宋"/>
          <w:color w:val="auto"/>
          <w:sz w:val="24"/>
          <w:szCs w:val="24"/>
          <w:highlight w:val="none"/>
        </w:rPr>
        <w:t>、多个</w:t>
      </w:r>
      <w:r>
        <w:rPr>
          <w:rFonts w:hint="eastAsia" w:ascii="仿宋" w:hAnsi="仿宋" w:eastAsia="仿宋" w:cs="仿宋"/>
          <w:color w:val="auto"/>
          <w:sz w:val="24"/>
          <w:szCs w:val="24"/>
          <w:highlight w:val="none"/>
          <w:lang w:val="en-US" w:eastAsia="zh-CN"/>
        </w:rPr>
        <w:t>食材分组</w:t>
      </w:r>
      <w:r>
        <w:rPr>
          <w:rFonts w:hint="eastAsia" w:ascii="仿宋" w:hAnsi="仿宋" w:eastAsia="仿宋" w:cs="仿宋"/>
          <w:color w:val="auto"/>
          <w:sz w:val="24"/>
          <w:szCs w:val="24"/>
          <w:highlight w:val="none"/>
        </w:rPr>
        <w:t>资格的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对其中“评标竞价”方式中标标段，按</w:t>
      </w:r>
      <w:r>
        <w:rPr>
          <w:rFonts w:hint="eastAsia" w:ascii="仿宋" w:hAnsi="仿宋" w:eastAsia="仿宋" w:cs="仿宋"/>
          <w:color w:val="auto"/>
          <w:sz w:val="24"/>
          <w:szCs w:val="24"/>
          <w:highlight w:val="none"/>
          <w:lang w:val="en-US" w:eastAsia="zh-CN"/>
        </w:rPr>
        <w:t>中标的学校分组数量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食材分组数量</w:t>
      </w:r>
      <w:r>
        <w:rPr>
          <w:rFonts w:hint="eastAsia" w:ascii="仿宋" w:hAnsi="仿宋" w:eastAsia="仿宋" w:cs="仿宋"/>
          <w:color w:val="auto"/>
          <w:sz w:val="24"/>
          <w:szCs w:val="24"/>
          <w:highlight w:val="none"/>
        </w:rPr>
        <w:t>分别独立核算代理服务费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可汇总一次性缴纳，也可分次缴纳。</w:t>
      </w:r>
    </w:p>
    <w:p w14:paraId="4B9E7B97">
      <w:pPr>
        <w:pStyle w:val="37"/>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12.2.4</w:t>
      </w:r>
      <w:r>
        <w:rPr>
          <w:rFonts w:hint="eastAsia" w:ascii="仿宋" w:hAnsi="仿宋" w:eastAsia="仿宋" w:cs="仿宋"/>
          <w:color w:val="auto"/>
          <w:kern w:val="2"/>
          <w:sz w:val="24"/>
          <w:szCs w:val="24"/>
          <w:highlight w:val="none"/>
          <w:lang w:eastAsia="zh-CN"/>
        </w:rPr>
        <w:t>单个委托项目采购文件工本费：</w:t>
      </w:r>
      <w:r>
        <w:rPr>
          <w:rFonts w:hint="eastAsia" w:ascii="仿宋" w:hAnsi="仿宋" w:eastAsia="仿宋" w:cs="仿宋"/>
          <w:color w:val="auto"/>
          <w:kern w:val="2"/>
          <w:sz w:val="24"/>
          <w:szCs w:val="24"/>
          <w:highlight w:val="none"/>
          <w:lang w:val="en-US" w:eastAsia="zh-CN" w:bidi="ar-SA"/>
        </w:rPr>
        <w:t>资格审查文件、招标文件售价不高于500元。丰</w:t>
      </w:r>
      <w:r>
        <w:rPr>
          <w:rFonts w:hint="eastAsia" w:ascii="仿宋" w:hAnsi="仿宋" w:eastAsia="仿宋" w:cs="仿宋"/>
          <w:sz w:val="24"/>
          <w:szCs w:val="24"/>
          <w:highlight w:val="none"/>
        </w:rPr>
        <w:t>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w:t>
      </w:r>
      <w:r>
        <w:rPr>
          <w:rFonts w:hint="eastAsia" w:ascii="仿宋" w:hAnsi="仿宋" w:eastAsia="仿宋" w:cs="仿宋"/>
          <w:bCs/>
          <w:color w:val="auto"/>
          <w:sz w:val="24"/>
          <w:szCs w:val="24"/>
          <w:highlight w:val="none"/>
          <w:lang w:val="en-US" w:eastAsia="zh-CN"/>
        </w:rPr>
        <w:t>招标文件由潜在供应商在江苏省中小学食堂招标采购信息公开网（https://xxgs.jsed.edu.cn）自行免费下载</w:t>
      </w:r>
      <w:r>
        <w:rPr>
          <w:rFonts w:hint="eastAsia" w:ascii="仿宋" w:hAnsi="仿宋" w:eastAsia="仿宋" w:cs="仿宋"/>
          <w:bCs/>
          <w:color w:val="auto"/>
          <w:sz w:val="24"/>
          <w:szCs w:val="24"/>
          <w:highlight w:val="none"/>
          <w:lang w:eastAsia="zh-CN"/>
        </w:rPr>
        <w:t>。</w:t>
      </w:r>
    </w:p>
    <w:p w14:paraId="50819A72">
      <w:pPr>
        <w:pStyle w:val="37"/>
        <w:keepNext w:val="0"/>
        <w:keepLines w:val="0"/>
        <w:pageBreakBefore w:val="0"/>
        <w:widowControl w:val="0"/>
        <w:kinsoku/>
        <w:wordWrap/>
        <w:topLinePunct w:val="0"/>
        <w:bidi w:val="0"/>
        <w:spacing w:line="560" w:lineRule="exact"/>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按</w:t>
      </w:r>
      <w:r>
        <w:rPr>
          <w:rFonts w:hint="eastAsia" w:ascii="仿宋" w:hAnsi="仿宋" w:eastAsia="仿宋" w:cs="仿宋"/>
          <w:bCs/>
          <w:color w:val="auto"/>
          <w:sz w:val="24"/>
          <w:szCs w:val="24"/>
          <w:highlight w:val="none"/>
          <w:lang w:val="en-US" w:eastAsia="zh-CN"/>
        </w:rPr>
        <w:t>以上方式</w:t>
      </w:r>
      <w:r>
        <w:rPr>
          <w:rFonts w:hint="eastAsia" w:ascii="仿宋" w:hAnsi="仿宋" w:eastAsia="仿宋" w:cs="仿宋"/>
          <w:bCs/>
          <w:color w:val="auto"/>
          <w:sz w:val="24"/>
          <w:szCs w:val="24"/>
          <w:highlight w:val="none"/>
          <w:lang w:eastAsia="zh-CN"/>
        </w:rPr>
        <w:t>计算的收费为代理服务全过程的收费金额，</w:t>
      </w:r>
      <w:r>
        <w:rPr>
          <w:rFonts w:hint="eastAsia" w:ascii="仿宋" w:hAnsi="仿宋" w:eastAsia="仿宋" w:cs="仿宋"/>
          <w:bCs/>
          <w:color w:val="auto"/>
          <w:sz w:val="24"/>
          <w:szCs w:val="24"/>
          <w:highlight w:val="none"/>
          <w:lang w:val="en-US" w:eastAsia="zh-CN"/>
        </w:rPr>
        <w:t>代理机构不得再收取其他任何费用</w:t>
      </w:r>
      <w:r>
        <w:rPr>
          <w:rFonts w:hint="eastAsia" w:ascii="仿宋" w:hAnsi="仿宋" w:eastAsia="仿宋" w:cs="仿宋"/>
          <w:bCs/>
          <w:color w:val="auto"/>
          <w:sz w:val="24"/>
          <w:szCs w:val="24"/>
          <w:highlight w:val="none"/>
          <w:lang w:eastAsia="zh-CN"/>
        </w:rPr>
        <w:t>。</w:t>
      </w:r>
    </w:p>
    <w:bookmarkEnd w:id="8"/>
    <w:p w14:paraId="0F93B93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其他</w:t>
      </w:r>
      <w:r>
        <w:rPr>
          <w:rFonts w:hint="eastAsia" w:ascii="仿宋" w:hAnsi="仿宋" w:eastAsia="仿宋" w:cs="仿宋"/>
          <w:b/>
          <w:color w:val="auto"/>
          <w:sz w:val="24"/>
          <w:szCs w:val="24"/>
          <w:highlight w:val="none"/>
        </w:rPr>
        <w:t>要求：</w:t>
      </w:r>
    </w:p>
    <w:p w14:paraId="31365FA8">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投标人的投标报价应包括为完成本项目所规定的工作内容所需的全部费用。</w:t>
      </w:r>
    </w:p>
    <w:p w14:paraId="0E008B9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理机构不得恶意低价竞争，评标委员会认为代理机构的报价明显低于其他通过符合性审查代理机构的报价，有可能影响代理质量或者不能诚信履约的，会要求其在评标现场合理的时间内提供书面说明，必要时提交相关证明材料；代理机构不能证明其报价合理性的，评标委员会应当将其作为无效投标处理。</w:t>
      </w:r>
    </w:p>
    <w:p w14:paraId="5ABEF37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代理</w:t>
      </w:r>
      <w:r>
        <w:rPr>
          <w:rFonts w:hint="eastAsia" w:ascii="仿宋" w:hAnsi="仿宋" w:eastAsia="仿宋" w:cs="仿宋"/>
          <w:sz w:val="24"/>
          <w:szCs w:val="24"/>
          <w:highlight w:val="none"/>
          <w:lang w:val="en-US" w:eastAsia="zh-CN"/>
        </w:rPr>
        <w:t>机构</w:t>
      </w:r>
      <w:r>
        <w:rPr>
          <w:rFonts w:hint="eastAsia" w:ascii="仿宋" w:hAnsi="仿宋" w:eastAsia="仿宋" w:cs="仿宋"/>
          <w:sz w:val="24"/>
          <w:szCs w:val="24"/>
          <w:highlight w:val="none"/>
        </w:rPr>
        <w:t>因骗取中标或者严重违约等问题，被有关部门暂停招标代理资格并在暂停期内的，评标委员会应当将其作为无效投标处理。</w:t>
      </w:r>
    </w:p>
    <w:p w14:paraId="6A8E599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9" w:name="_Toc320622507"/>
      <w:r>
        <w:rPr>
          <w:rFonts w:hint="eastAsia" w:ascii="仿宋" w:hAnsi="仿宋" w:eastAsia="仿宋" w:cs="仿宋"/>
          <w:sz w:val="24"/>
          <w:szCs w:val="24"/>
          <w:highlight w:val="none"/>
          <w:lang w:val="en-US" w:eastAsia="zh-CN"/>
        </w:rPr>
        <w:t>(五)响应文件的密封和递交</w:t>
      </w:r>
      <w:bookmarkEnd w:id="9"/>
    </w:p>
    <w:p w14:paraId="7210F03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响应文件的密封与标志</w:t>
      </w:r>
    </w:p>
    <w:p w14:paraId="0EDD5F4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.1参与遴选单位必须准备</w:t>
      </w:r>
      <w:r>
        <w:rPr>
          <w:rFonts w:hint="eastAsia" w:ascii="仿宋" w:hAnsi="仿宋" w:eastAsia="仿宋" w:cs="仿宋"/>
          <w:sz w:val="24"/>
          <w:szCs w:val="24"/>
          <w:highlight w:val="red"/>
          <w:u w:val="single"/>
          <w:lang w:val="en-US" w:eastAsia="zh-CN"/>
        </w:rPr>
        <w:t>伍</w:t>
      </w:r>
      <w:r>
        <w:rPr>
          <w:rFonts w:hint="eastAsia" w:ascii="仿宋" w:hAnsi="仿宋" w:eastAsia="仿宋" w:cs="仿宋"/>
          <w:sz w:val="24"/>
          <w:szCs w:val="24"/>
          <w:highlight w:val="none"/>
        </w:rPr>
        <w:t>份完整的响应文件，其中正本</w:t>
      </w:r>
      <w:r>
        <w:rPr>
          <w:rFonts w:hint="eastAsia" w:ascii="仿宋" w:hAnsi="仿宋" w:eastAsia="仿宋" w:cs="仿宋"/>
          <w:color w:val="auto"/>
          <w:sz w:val="24"/>
          <w:szCs w:val="24"/>
          <w:highlight w:val="none"/>
          <w:u w:val="single"/>
        </w:rPr>
        <w:t>壹</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red"/>
          <w:u w:val="single"/>
          <w:lang w:val="en-US" w:eastAsia="zh-CN"/>
        </w:rPr>
        <w:t>肆</w:t>
      </w:r>
      <w:r>
        <w:rPr>
          <w:rFonts w:hint="eastAsia" w:ascii="仿宋" w:hAnsi="仿宋" w:eastAsia="仿宋" w:cs="仿宋"/>
          <w:color w:val="auto"/>
          <w:sz w:val="24"/>
          <w:szCs w:val="24"/>
          <w:highlight w:val="none"/>
        </w:rPr>
        <w:t>份，并标明“正本”或“副本”字样。</w:t>
      </w:r>
    </w:p>
    <w:p w14:paraId="5D9DF2A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.2响应文件应密封，在封袋上应标明单位名称，并在封袋上加盖单位公章或经投标代表人签字。</w:t>
      </w:r>
    </w:p>
    <w:p w14:paraId="0F72B6CE">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.3所有响应文件都必须在封袋骑缝处以显著标志密封。参与遴选单位可将响应文件正、副本统一密封，或正本和副本分别密封时，应在封袋上标明“正本”、“副本”字样。</w:t>
      </w:r>
    </w:p>
    <w:p w14:paraId="3EDBB0E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.4参与遴选单位未按上述规定提交响应文件，其响应文件将被拒绝，并退还给参与遴选单位。</w:t>
      </w:r>
    </w:p>
    <w:p w14:paraId="0D1EBDB4">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.5响应文件正、副本不一致时，以正本为准。</w:t>
      </w:r>
    </w:p>
    <w:p w14:paraId="6F605ACF">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遴选截止时间</w:t>
      </w:r>
    </w:p>
    <w:p w14:paraId="5E88AEC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参与遴选单位应在响应文件递交截止时间之前将响应文件递交给采购人。</w:t>
      </w:r>
    </w:p>
    <w:p w14:paraId="3CA62AF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响应文件的修改与撤回</w:t>
      </w:r>
    </w:p>
    <w:p w14:paraId="4DCB065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遴选截止时间之前，参与遴选单位可对所递交的响应文件进行修改或撤回，但所递交的修改或撤回通知必须按遴选文件的规定进行编制、密封、标志(在包封上标明“修改”或“撤回”字样，并注明修改或撤回的时间)和递交。遴选截止时间之后，参与遴选单位不得修改或撤回响应文件。</w:t>
      </w:r>
    </w:p>
    <w:p w14:paraId="00BE414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lang w:val="en-US" w:eastAsia="zh-CN"/>
        </w:rPr>
      </w:pPr>
      <w:bookmarkStart w:id="10" w:name="_Toc320622508"/>
      <w:r>
        <w:rPr>
          <w:rFonts w:hint="eastAsia" w:ascii="仿宋" w:hAnsi="仿宋" w:eastAsia="仿宋" w:cs="仿宋"/>
          <w:sz w:val="24"/>
          <w:szCs w:val="24"/>
          <w:highlight w:val="none"/>
          <w:lang w:val="en-US" w:eastAsia="zh-CN"/>
        </w:rPr>
        <w:t>(六)开标、评标、定标</w:t>
      </w:r>
      <w:bookmarkEnd w:id="10"/>
    </w:p>
    <w:p w14:paraId="1DDBBB5B">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采购人按前附表规定的时间、地点公开开标。开标会由采购人主持，由参与遴选单位检查响应文件的密封情况。经确认无误签字后开标（经确认无误签字确认后，不再接受参与遴选单位关于响应文件密封情况的异议或投诉）。</w:t>
      </w:r>
    </w:p>
    <w:p w14:paraId="11AF552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凡响应文件有下列情况之一的，属于重大偏差，视同未能对遴选文件作出实质性响应，按无效标处理。</w:t>
      </w:r>
    </w:p>
    <w:p w14:paraId="0E615B0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.1响应文件未密封；或者虽密封，但未按规定；或有明显拆封现象；</w:t>
      </w:r>
    </w:p>
    <w:p w14:paraId="47EE8FD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.2响应文件未</w:t>
      </w:r>
      <w:r>
        <w:rPr>
          <w:rFonts w:hint="eastAsia" w:ascii="仿宋" w:hAnsi="仿宋" w:eastAsia="仿宋" w:cs="仿宋"/>
          <w:sz w:val="24"/>
          <w:szCs w:val="24"/>
          <w:highlight w:val="none"/>
          <w:lang w:val="en-US" w:eastAsia="zh-CN"/>
        </w:rPr>
        <w:t>按要求</w:t>
      </w:r>
      <w:r>
        <w:rPr>
          <w:rFonts w:hint="eastAsia" w:ascii="仿宋" w:hAnsi="仿宋" w:eastAsia="仿宋" w:cs="仿宋"/>
          <w:sz w:val="24"/>
          <w:szCs w:val="24"/>
          <w:highlight w:val="none"/>
        </w:rPr>
        <w:t>加盖参与遴选单位法人章，未经法定代表人或其代理人签署；</w:t>
      </w:r>
    </w:p>
    <w:p w14:paraId="261147A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.3如有授权，未提供合法、有效的授权委托书原件；</w:t>
      </w:r>
    </w:p>
    <w:p w14:paraId="7FF7466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.4未按遴选文件规定的格式、内容和要求编制，关键内容字迹潦草、模糊，无法辨认；</w:t>
      </w:r>
    </w:p>
    <w:p w14:paraId="4C54009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.5未对遴选文件的实质性要求和条件作出响应；</w:t>
      </w:r>
    </w:p>
    <w:p w14:paraId="4DA72C05">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.6参与遴选单位在一份响应文件中，有两个或多个报价，且未书面声明以哪个报价为准；</w:t>
      </w:r>
    </w:p>
    <w:p w14:paraId="2150982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.7经评标委员会认定的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未实质性响应遴选文件的情形。</w:t>
      </w:r>
    </w:p>
    <w:p w14:paraId="2BE8FB7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其他说明：无。</w:t>
      </w:r>
    </w:p>
    <w:p w14:paraId="2402BC2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19.</w:t>
      </w:r>
      <w:r>
        <w:rPr>
          <w:rFonts w:hint="eastAsia" w:ascii="仿宋" w:hAnsi="仿宋" w:eastAsia="仿宋" w:cs="仿宋"/>
          <w:sz w:val="24"/>
          <w:szCs w:val="24"/>
          <w:highlight w:val="none"/>
        </w:rPr>
        <w:t>响应文件的澄清</w:t>
      </w:r>
    </w:p>
    <w:p w14:paraId="17F9BE9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在评标过程中，评标委员会认为需要的情况下，可以要求参与遴选单位对响应文件中的有关问题进行澄清或提供补充说明及有关资料，参与遴选单位应作出书面答复。</w:t>
      </w:r>
    </w:p>
    <w:p w14:paraId="6310D80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在响应文件的审查、澄清、评价和比较的过程中，参与遴选单位对采购人和评标组织成员施加影响的任何行为，都将导致取消其中标资格。</w:t>
      </w:r>
    </w:p>
    <w:p w14:paraId="2D537E5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本项目采用综合评标法，此项目不承诺最低价中标。</w:t>
      </w:r>
      <w:bookmarkStart w:id="11" w:name="_Toc241782539"/>
      <w:bookmarkStart w:id="12" w:name="_Toc241782690"/>
    </w:p>
    <w:p w14:paraId="5CC096A6">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22.</w:t>
      </w:r>
      <w:r>
        <w:rPr>
          <w:rFonts w:hint="eastAsia" w:ascii="仿宋" w:hAnsi="仿宋" w:eastAsia="仿宋" w:cs="仿宋"/>
          <w:sz w:val="24"/>
          <w:szCs w:val="24"/>
          <w:highlight w:val="none"/>
        </w:rPr>
        <w:t>具体评标办法如下：</w:t>
      </w:r>
    </w:p>
    <w:tbl>
      <w:tblPr>
        <w:tblStyle w:val="2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244"/>
        <w:gridCol w:w="7716"/>
      </w:tblGrid>
      <w:tr w14:paraId="3941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88" w:type="pct"/>
            <w:vAlign w:val="center"/>
          </w:tcPr>
          <w:p w14:paraId="63604268">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640" w:type="pct"/>
            <w:vAlign w:val="center"/>
          </w:tcPr>
          <w:p w14:paraId="7EE08364">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评分项目</w:t>
            </w:r>
          </w:p>
        </w:tc>
        <w:tc>
          <w:tcPr>
            <w:tcW w:w="3971" w:type="pct"/>
            <w:vAlign w:val="center"/>
          </w:tcPr>
          <w:p w14:paraId="061D9DF3">
            <w:pPr>
              <w:keepNext w:val="0"/>
              <w:keepLines w:val="0"/>
              <w:pageBreakBefore w:val="0"/>
              <w:widowControl w:val="0"/>
              <w:kinsoku/>
              <w:wordWrap/>
              <w:topLinePunct w:val="0"/>
              <w:bidi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评分要求</w:t>
            </w:r>
          </w:p>
        </w:tc>
      </w:tr>
      <w:tr w14:paraId="6A4D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388" w:type="pct"/>
            <w:vAlign w:val="center"/>
          </w:tcPr>
          <w:p w14:paraId="13B2093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40" w:type="pct"/>
            <w:vAlign w:val="center"/>
          </w:tcPr>
          <w:p w14:paraId="1DA39BA1">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w:t>
            </w:r>
          </w:p>
          <w:p w14:paraId="3017BD39">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30分</w:t>
            </w:r>
            <w:r>
              <w:rPr>
                <w:rFonts w:hint="eastAsia" w:ascii="仿宋" w:hAnsi="仿宋" w:eastAsia="仿宋" w:cs="仿宋"/>
                <w:color w:val="auto"/>
                <w:sz w:val="24"/>
                <w:szCs w:val="24"/>
                <w:highlight w:val="none"/>
                <w:lang w:eastAsia="zh-CN"/>
              </w:rPr>
              <w:t>）</w:t>
            </w:r>
          </w:p>
        </w:tc>
        <w:tc>
          <w:tcPr>
            <w:tcW w:w="3971" w:type="pct"/>
            <w:vAlign w:val="center"/>
          </w:tcPr>
          <w:p w14:paraId="19C3096D">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所有有效响应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去掉一个最高和一个最低后取算术平均值为评审基准价，响应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等于评审基准价的</w:t>
            </w:r>
            <w:r>
              <w:rPr>
                <w:rFonts w:hint="eastAsia" w:ascii="仿宋" w:hAnsi="仿宋" w:eastAsia="仿宋" w:cs="仿宋"/>
                <w:color w:val="auto"/>
                <w:sz w:val="24"/>
                <w:szCs w:val="24"/>
                <w:highlight w:val="none"/>
                <w:lang w:val="en-US" w:eastAsia="zh-CN"/>
              </w:rPr>
              <w:t>价格</w:t>
            </w:r>
            <w:r>
              <w:rPr>
                <w:rFonts w:hint="eastAsia" w:ascii="仿宋" w:hAnsi="仿宋" w:eastAsia="仿宋" w:cs="仿宋"/>
                <w:color w:val="auto"/>
                <w:sz w:val="24"/>
                <w:szCs w:val="24"/>
                <w:highlight w:val="none"/>
              </w:rPr>
              <w:t>得</w:t>
            </w:r>
            <w:r>
              <w:rPr>
                <w:rFonts w:hint="eastAsia" w:ascii="仿宋" w:hAnsi="仿宋" w:eastAsia="仿宋" w:cs="仿宋"/>
                <w:color w:val="auto"/>
                <w:sz w:val="24"/>
                <w:szCs w:val="24"/>
                <w:highlight w:val="none"/>
                <w:lang w:val="en-US" w:eastAsia="zh-CN"/>
              </w:rPr>
              <w:t>分=30</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代理服务费率高于</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的按如下公式计算：价格得分=30-（</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）×30（保留2位小数）；</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代理服务费率低于</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的按如下公式计算：价格得分=30-（</w:t>
            </w:r>
            <w:r>
              <w:rPr>
                <w:rFonts w:hint="eastAsia" w:ascii="仿宋" w:hAnsi="仿宋" w:eastAsia="仿宋" w:cs="仿宋"/>
                <w:color w:val="auto"/>
                <w:sz w:val="24"/>
                <w:szCs w:val="24"/>
                <w:highlight w:val="none"/>
              </w:rPr>
              <w:t>评审基准价</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en-US" w:eastAsia="zh-CN"/>
              </w:rPr>
              <w:t>代理服务费率）×20（保留2位小数）</w:t>
            </w:r>
            <w:r>
              <w:rPr>
                <w:rFonts w:hint="eastAsia" w:ascii="仿宋" w:hAnsi="仿宋" w:eastAsia="仿宋" w:cs="仿宋"/>
                <w:color w:val="auto"/>
                <w:sz w:val="24"/>
                <w:szCs w:val="24"/>
                <w:highlight w:val="none"/>
              </w:rPr>
              <w:t>。</w:t>
            </w:r>
          </w:p>
        </w:tc>
      </w:tr>
      <w:tr w14:paraId="565A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388" w:type="pct"/>
            <w:vAlign w:val="center"/>
          </w:tcPr>
          <w:p w14:paraId="374DCBC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640" w:type="pct"/>
            <w:vAlign w:val="center"/>
          </w:tcPr>
          <w:p w14:paraId="3E90A42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服务方案</w:t>
            </w:r>
          </w:p>
          <w:p w14:paraId="4DF76CB3">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分）</w:t>
            </w:r>
          </w:p>
        </w:tc>
        <w:tc>
          <w:tcPr>
            <w:tcW w:w="3971" w:type="pct"/>
            <w:vAlign w:val="center"/>
          </w:tcPr>
          <w:p w14:paraId="2811EFC3">
            <w:pPr>
              <w:keepNext w:val="0"/>
              <w:keepLines w:val="0"/>
              <w:pageBreakBefore w:val="0"/>
              <w:widowControl w:val="0"/>
              <w:numPr>
                <w:ilvl w:val="0"/>
                <w:numId w:val="0"/>
              </w:numPr>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提供针对</w:t>
            </w:r>
            <w:r>
              <w:rPr>
                <w:rFonts w:hint="eastAsia" w:ascii="仿宋" w:hAnsi="仿宋" w:eastAsia="仿宋" w:cs="仿宋"/>
                <w:color w:val="auto"/>
                <w:sz w:val="24"/>
                <w:szCs w:val="24"/>
                <w:highlight w:val="none"/>
                <w:lang w:val="en-US" w:eastAsia="zh-CN"/>
              </w:rPr>
              <w:t>丰县中小学食堂食材、校外供餐企业</w:t>
            </w:r>
            <w:r>
              <w:rPr>
                <w:rFonts w:hint="eastAsia" w:ascii="仿宋" w:hAnsi="仿宋" w:eastAsia="仿宋" w:cs="仿宋"/>
                <w:color w:val="auto"/>
                <w:sz w:val="24"/>
                <w:szCs w:val="24"/>
                <w:highlight w:val="none"/>
              </w:rPr>
              <w:t>招标代理工作的流程方案、进度保障措施以及预防废标、流标等质量保障措施。</w:t>
            </w:r>
          </w:p>
          <w:p w14:paraId="5327D26C">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评委根据各项方案及措施的全面性进行评分，优秀的得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FE4CD7A">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评委根据各项方案及措施的规范性进行评分，优秀的得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425C987">
            <w:pPr>
              <w:keepNext w:val="0"/>
              <w:keepLines w:val="0"/>
              <w:pageBreakBefore w:val="0"/>
              <w:widowControl w:val="0"/>
              <w:kinsoku/>
              <w:wordWrap/>
              <w:topLinePunct w:val="0"/>
              <w:bidi w:val="0"/>
              <w:spacing w:line="300" w:lineRule="exact"/>
              <w:jc w:val="left"/>
              <w:rPr>
                <w:rFonts w:hint="eastAsia"/>
                <w:color w:val="auto"/>
                <w:highlight w:val="none"/>
              </w:rPr>
            </w:pPr>
            <w:r>
              <w:rPr>
                <w:rFonts w:hint="eastAsia" w:ascii="仿宋" w:hAnsi="仿宋" w:eastAsia="仿宋" w:cs="仿宋"/>
                <w:color w:val="auto"/>
                <w:sz w:val="24"/>
                <w:szCs w:val="24"/>
                <w:highlight w:val="none"/>
              </w:rPr>
              <w:t>评委根据各项方案及措施的合理性进行评分，优秀的得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分，较差得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分，未提供的不得分。</w:t>
            </w:r>
          </w:p>
          <w:p w14:paraId="39C0571F">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提供答复质疑处理方案和协助投诉处理方案。</w:t>
            </w:r>
          </w:p>
          <w:p w14:paraId="22DB0A98">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评委根据方案的全面性、规范性、合理性进行评分，优秀的得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分，较好得4分，一般得3分，较差得1分，未提供的不得分。</w:t>
            </w:r>
          </w:p>
          <w:p w14:paraId="483223E3">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提供档案管理、移交方案（包含但不限于档案自存管理、档案查阅、档案电子化建设及移交至采购人的方案、时限等）</w:t>
            </w:r>
          </w:p>
          <w:p w14:paraId="46979DEC">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标准化程度高、合理、规范得3分；标准化和规范化一般得2分，不完整或较差得1分，没有提供不得分。</w:t>
            </w:r>
          </w:p>
          <w:p w14:paraId="41923423">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提供的内部质量管控措施、廉政风险防控措施等。</w:t>
            </w:r>
          </w:p>
          <w:p w14:paraId="20E6EE8B">
            <w:pPr>
              <w:keepNext w:val="0"/>
              <w:keepLines w:val="0"/>
              <w:pageBreakBefore w:val="0"/>
              <w:widowControl w:val="0"/>
              <w:kinsoku/>
              <w:wordWrap/>
              <w:topLinePunct w:val="0"/>
              <w:bidi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措施合理、全面、得当得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分，一般得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分，没有提供不得分。</w:t>
            </w:r>
          </w:p>
        </w:tc>
      </w:tr>
      <w:tr w14:paraId="37E9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388" w:type="pct"/>
            <w:vAlign w:val="center"/>
          </w:tcPr>
          <w:p w14:paraId="5A2854D0">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640" w:type="pct"/>
            <w:shd w:val="clear" w:color="auto" w:fill="auto"/>
            <w:vAlign w:val="center"/>
          </w:tcPr>
          <w:p w14:paraId="2408D87E">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业绩</w:t>
            </w:r>
          </w:p>
          <w:p w14:paraId="314B33C8">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tc>
        <w:tc>
          <w:tcPr>
            <w:tcW w:w="3971" w:type="pct"/>
            <w:shd w:val="clear" w:color="auto" w:fill="auto"/>
            <w:vAlign w:val="center"/>
          </w:tcPr>
          <w:p w14:paraId="1798BAEF">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中提供自202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年1月1日以后的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以委托协议签订日期为准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每承担过一个</w:t>
            </w:r>
            <w:r>
              <w:rPr>
                <w:rFonts w:hint="eastAsia" w:ascii="仿宋" w:hAnsi="仿宋" w:eastAsia="仿宋" w:cs="仿宋"/>
                <w:color w:val="auto"/>
                <w:sz w:val="24"/>
                <w:szCs w:val="24"/>
                <w:highlight w:val="none"/>
                <w:lang w:val="en-US" w:eastAsia="zh-CN"/>
              </w:rPr>
              <w:t>食堂食材或校外供餐企业招标代理业绩得2分</w:t>
            </w:r>
            <w:r>
              <w:rPr>
                <w:rFonts w:hint="eastAsia" w:ascii="仿宋" w:hAnsi="仿宋" w:eastAsia="仿宋" w:cs="仿宋"/>
                <w:color w:val="auto"/>
                <w:sz w:val="24"/>
                <w:szCs w:val="24"/>
                <w:highlight w:val="none"/>
              </w:rPr>
              <w:t>（提供委托协议复印件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对应项目的中标公告截图</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，最高得10分；其他</w:t>
            </w:r>
            <w:r>
              <w:rPr>
                <w:rFonts w:hint="eastAsia" w:ascii="仿宋" w:hAnsi="仿宋" w:eastAsia="仿宋" w:cs="仿宋"/>
                <w:color w:val="auto"/>
                <w:sz w:val="24"/>
                <w:szCs w:val="24"/>
                <w:highlight w:val="none"/>
              </w:rPr>
              <w:t>货物类、服务类和工程类招标代理业绩得1分（提供委托协议复印件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对应项目的中标公告截图</w:t>
            </w:r>
            <w:r>
              <w:rPr>
                <w:rFonts w:hint="eastAsia" w:ascii="仿宋" w:hAnsi="仿宋" w:eastAsia="仿宋" w:cs="仿宋"/>
                <w:color w:val="auto"/>
                <w:sz w:val="24"/>
                <w:szCs w:val="24"/>
                <w:highlight w:val="none"/>
              </w:rPr>
              <w:t>），每类最高得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w:t>
            </w:r>
          </w:p>
          <w:p w14:paraId="30B28D7E">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本项最高得19分，最低得0分。</w:t>
            </w:r>
          </w:p>
        </w:tc>
      </w:tr>
      <w:tr w14:paraId="5D77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88" w:type="pct"/>
            <w:vAlign w:val="center"/>
          </w:tcPr>
          <w:p w14:paraId="15E7991D">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640" w:type="pct"/>
            <w:shd w:val="clear" w:color="auto" w:fill="auto"/>
            <w:vAlign w:val="center"/>
          </w:tcPr>
          <w:p w14:paraId="3D406298">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人员配备</w:t>
            </w:r>
          </w:p>
          <w:p w14:paraId="18FAED4C">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（7分）</w:t>
            </w:r>
          </w:p>
        </w:tc>
        <w:tc>
          <w:tcPr>
            <w:tcW w:w="3971" w:type="pct"/>
            <w:shd w:val="clear" w:color="auto" w:fill="auto"/>
            <w:vAlign w:val="center"/>
          </w:tcPr>
          <w:p w14:paraId="180F5216">
            <w:pPr>
              <w:keepNext w:val="0"/>
              <w:keepLines w:val="0"/>
              <w:pageBreakBefore w:val="0"/>
              <w:widowControl w:val="0"/>
              <w:kinsoku/>
              <w:wordWrap/>
              <w:topLinePunct w:val="0"/>
              <w:bidi w:val="0"/>
              <w:snapToGrid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1、项目组成员（含项目负责人）具有高级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含</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以上</w:t>
            </w:r>
            <w:r>
              <w:rPr>
                <w:rFonts w:hint="eastAsia" w:ascii="仿宋" w:hAnsi="仿宋" w:eastAsia="仿宋" w:cs="仿宋"/>
                <w:color w:val="auto"/>
                <w:sz w:val="24"/>
                <w:szCs w:val="24"/>
                <w:highlight w:val="none"/>
              </w:rPr>
              <w:t>职称的得1分，中级职称的得0.5分，最高得4分。</w:t>
            </w:r>
          </w:p>
          <w:p w14:paraId="190390D9">
            <w:pPr>
              <w:keepNext w:val="0"/>
              <w:keepLines w:val="0"/>
              <w:pageBreakBefore w:val="0"/>
              <w:widowControl w:val="0"/>
              <w:kinsoku/>
              <w:wordWrap/>
              <w:topLinePunct w:val="0"/>
              <w:bidi w:val="0"/>
              <w:snapToGrid w:val="0"/>
              <w:spacing w:line="3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2、项目组成员中具有政府采购培训证书的得0.5分/人，最多得3分。</w:t>
            </w:r>
          </w:p>
          <w:p w14:paraId="7D015786">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注：上述证书需提供复印件并加盖公章，同时须提供社保机构出具的近3个月的供应商为其缴纳的社会保险证明材料复印件，退休返聘人员须提供劳务合同。</w:t>
            </w:r>
          </w:p>
        </w:tc>
      </w:tr>
      <w:tr w14:paraId="491B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88" w:type="pct"/>
            <w:vAlign w:val="center"/>
          </w:tcPr>
          <w:p w14:paraId="502A59D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640" w:type="pct"/>
            <w:shd w:val="clear" w:color="auto" w:fill="auto"/>
            <w:vAlign w:val="center"/>
          </w:tcPr>
          <w:p w14:paraId="47D814E5">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开标、评标场地和设施说明</w:t>
            </w:r>
          </w:p>
          <w:p w14:paraId="23EB6782">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3971" w:type="pct"/>
            <w:shd w:val="clear" w:color="auto" w:fill="auto"/>
            <w:vAlign w:val="center"/>
          </w:tcPr>
          <w:p w14:paraId="43783F00">
            <w:pPr>
              <w:keepNext w:val="0"/>
              <w:keepLines w:val="0"/>
              <w:pageBreakBefore w:val="0"/>
              <w:widowControl w:val="0"/>
              <w:kinsoku/>
              <w:wordWrap/>
              <w:topLinePunct w:val="0"/>
              <w:bidi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具有1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0（含）-</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00平方米（不含）营业场所的得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00（含）-</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0平方米（不含）的得3分，</w:t>
            </w:r>
            <w:r>
              <w:rPr>
                <w:rFonts w:hint="eastAsia" w:ascii="仿宋" w:hAnsi="仿宋" w:eastAsia="仿宋" w:cs="仿宋"/>
                <w:color w:val="auto"/>
                <w:sz w:val="24"/>
                <w:szCs w:val="24"/>
                <w:highlight w:val="none"/>
                <w:lang w:val="en-US" w:eastAsia="zh-CN"/>
              </w:rPr>
              <w:t>350</w:t>
            </w:r>
            <w:r>
              <w:rPr>
                <w:rFonts w:hint="eastAsia" w:ascii="仿宋" w:hAnsi="仿宋" w:eastAsia="仿宋" w:cs="仿宋"/>
                <w:color w:val="auto"/>
                <w:sz w:val="24"/>
                <w:szCs w:val="24"/>
                <w:highlight w:val="none"/>
              </w:rPr>
              <w:t>平方米以上的得5分。（提供产权证明或租赁合同复印件加盖公章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不能提供的不得分。）</w:t>
            </w:r>
          </w:p>
          <w:p w14:paraId="75CEADD1">
            <w:pPr>
              <w:keepNext w:val="0"/>
              <w:keepLines w:val="0"/>
              <w:pageBreakBefore w:val="0"/>
              <w:widowControl w:val="0"/>
              <w:kinsoku/>
              <w:wordWrap/>
              <w:topLinePunct w:val="0"/>
              <w:bidi w:val="0"/>
              <w:spacing w:line="300" w:lineRule="exact"/>
              <w:rPr>
                <w:rFonts w:hint="eastAsia" w:ascii="Times New Roman" w:hAnsi="Times New Roman" w:eastAsia="仿宋" w:cs="Times New Roman"/>
                <w:kern w:val="2"/>
                <w:sz w:val="21"/>
                <w:szCs w:val="24"/>
                <w:highlight w:val="none"/>
                <w:lang w:val="en-US" w:eastAsia="zh-CN" w:bidi="ar-SA"/>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配备录像、音箱等监控设施设备的得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分，未提供或提供证明材料不符合要求的不得分（监控画面截图须能体现监控覆盖情况）。</w:t>
            </w:r>
          </w:p>
        </w:tc>
      </w:tr>
      <w:tr w14:paraId="6C9E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388" w:type="pct"/>
            <w:vAlign w:val="center"/>
          </w:tcPr>
          <w:p w14:paraId="33223E74">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640" w:type="pct"/>
            <w:shd w:val="clear" w:color="auto" w:fill="auto"/>
            <w:vAlign w:val="center"/>
          </w:tcPr>
          <w:p w14:paraId="43C2B731">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增值服务（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3971" w:type="pct"/>
            <w:shd w:val="clear" w:color="auto" w:fill="auto"/>
            <w:vAlign w:val="center"/>
          </w:tcPr>
          <w:p w14:paraId="1FFA9E7B">
            <w:pPr>
              <w:keepNext w:val="0"/>
              <w:keepLines w:val="0"/>
              <w:pageBreakBefore w:val="0"/>
              <w:widowControl w:val="0"/>
              <w:kinsoku/>
              <w:wordWrap/>
              <w:topLinePunct w:val="0"/>
              <w:bidi w:val="0"/>
              <w:spacing w:line="300" w:lineRule="exac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kern w:val="0"/>
                <w:sz w:val="24"/>
                <w:szCs w:val="24"/>
                <w:highlight w:val="none"/>
              </w:rPr>
              <w:t>提供针对</w:t>
            </w:r>
            <w:r>
              <w:rPr>
                <w:rFonts w:hint="eastAsia" w:ascii="仿宋" w:hAnsi="仿宋" w:eastAsia="仿宋" w:cs="仿宋"/>
                <w:color w:val="auto"/>
                <w:kern w:val="0"/>
                <w:sz w:val="24"/>
                <w:szCs w:val="24"/>
                <w:highlight w:val="none"/>
                <w:lang w:val="en-US" w:eastAsia="zh-CN"/>
              </w:rPr>
              <w:t>丰县中小学食堂食材、校外供餐企业</w:t>
            </w:r>
            <w:r>
              <w:rPr>
                <w:rFonts w:hint="eastAsia" w:ascii="仿宋" w:hAnsi="仿宋" w:eastAsia="仿宋" w:cs="仿宋"/>
                <w:color w:val="auto"/>
                <w:kern w:val="0"/>
                <w:sz w:val="24"/>
                <w:szCs w:val="24"/>
                <w:highlight w:val="none"/>
              </w:rPr>
              <w:t>招标项目的增值服务，经评标委员会认定有利于采购代理项目的开展或有利于提高采购与招标业务水平的增值服务，每项加1分，最多加</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w:t>
            </w:r>
          </w:p>
        </w:tc>
      </w:tr>
      <w:tr w14:paraId="172E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388" w:type="pct"/>
            <w:vAlign w:val="center"/>
          </w:tcPr>
          <w:p w14:paraId="1B7B004F">
            <w:pPr>
              <w:keepNext w:val="0"/>
              <w:keepLines w:val="0"/>
              <w:pageBreakBefore w:val="0"/>
              <w:widowControl w:val="0"/>
              <w:kinsoku/>
              <w:wordWrap/>
              <w:topLinePunct w:val="0"/>
              <w:bidi w:val="0"/>
              <w:spacing w:line="3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640" w:type="pct"/>
            <w:shd w:val="clear" w:color="auto" w:fill="auto"/>
            <w:vAlign w:val="center"/>
          </w:tcPr>
          <w:p w14:paraId="58C7847B">
            <w:pPr>
              <w:keepNext w:val="0"/>
              <w:keepLines w:val="0"/>
              <w:pageBreakBefore w:val="0"/>
              <w:widowControl w:val="0"/>
              <w:kinsoku/>
              <w:wordWrap/>
              <w:topLinePunct w:val="0"/>
              <w:bidi w:val="0"/>
              <w:spacing w:line="3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法务情况（3分）</w:t>
            </w:r>
          </w:p>
        </w:tc>
        <w:tc>
          <w:tcPr>
            <w:tcW w:w="3971" w:type="pct"/>
            <w:shd w:val="clear" w:color="auto" w:fill="auto"/>
            <w:vAlign w:val="center"/>
          </w:tcPr>
          <w:p w14:paraId="79323BD8">
            <w:pPr>
              <w:keepNext w:val="0"/>
              <w:keepLines w:val="0"/>
              <w:pageBreakBefore w:val="0"/>
              <w:widowControl w:val="0"/>
              <w:kinsoku/>
              <w:wordWrap/>
              <w:topLinePunct w:val="0"/>
              <w:bidi w:val="0"/>
              <w:spacing w:line="3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具有自有律师或专业法律顾问，得3分（</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中提供自有律师的律师资格证书及近3个月代理机构为其缴交的社保证明（复印件加盖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单位公章）或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与律师事务所签订的法律顾问协议书（复印件加盖</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单位公章，协议书应在有效期内且签约日期不得晚于本次投标日期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并承诺在服务期内有律师或专业法律顾问进行服务</w:t>
            </w:r>
            <w:r>
              <w:rPr>
                <w:rFonts w:hint="eastAsia" w:ascii="仿宋" w:hAnsi="仿宋" w:eastAsia="仿宋" w:cs="仿宋"/>
                <w:color w:val="auto"/>
                <w:sz w:val="24"/>
                <w:szCs w:val="24"/>
                <w:highlight w:val="none"/>
              </w:rPr>
              <w:t>）。</w:t>
            </w:r>
          </w:p>
        </w:tc>
      </w:tr>
    </w:tbl>
    <w:p w14:paraId="0037284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4"/>
          <w:szCs w:val="24"/>
          <w:highlight w:val="none"/>
          <w:u w:color="000000"/>
        </w:rPr>
      </w:pPr>
      <w:r>
        <w:rPr>
          <w:rFonts w:hint="eastAsia" w:ascii="仿宋" w:hAnsi="仿宋" w:eastAsia="仿宋" w:cs="仿宋"/>
          <w:color w:val="auto"/>
          <w:sz w:val="24"/>
          <w:szCs w:val="24"/>
          <w:highlight w:val="none"/>
          <w:u w:color="000000"/>
        </w:rPr>
        <w:t>注：（1）在本项评分标准中材料提供复印件的，</w:t>
      </w:r>
      <w:r>
        <w:rPr>
          <w:rFonts w:hint="eastAsia" w:ascii="仿宋" w:hAnsi="仿宋" w:eastAsia="仿宋" w:cs="仿宋"/>
          <w:color w:val="auto"/>
          <w:sz w:val="24"/>
          <w:szCs w:val="24"/>
          <w:highlight w:val="none"/>
          <w:u w:color="000000"/>
          <w:lang w:val="en-US" w:eastAsia="zh-CN"/>
        </w:rPr>
        <w:t>供应商</w:t>
      </w:r>
      <w:r>
        <w:rPr>
          <w:rFonts w:hint="eastAsia" w:ascii="仿宋" w:hAnsi="仿宋" w:eastAsia="仿宋" w:cs="仿宋"/>
          <w:color w:val="auto"/>
          <w:sz w:val="24"/>
          <w:szCs w:val="24"/>
          <w:highlight w:val="none"/>
          <w:u w:color="000000"/>
        </w:rPr>
        <w:t>须保证复印件与原件一致</w:t>
      </w: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并加盖公章</w:t>
      </w:r>
      <w:r>
        <w:rPr>
          <w:rFonts w:hint="eastAsia" w:ascii="仿宋" w:hAnsi="仿宋" w:eastAsia="仿宋" w:cs="仿宋"/>
          <w:color w:val="auto"/>
          <w:sz w:val="24"/>
          <w:szCs w:val="24"/>
          <w:highlight w:val="none"/>
          <w:u w:color="000000"/>
        </w:rPr>
        <w:t>。采购单位有权对原件进行进一步核实，如无法按时提供相关原件的或提供虚假材料的，按虚假应标处理。</w:t>
      </w:r>
    </w:p>
    <w:p w14:paraId="16185B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sz w:val="24"/>
          <w:szCs w:val="24"/>
          <w:highlight w:val="none"/>
          <w:u w:color="000000"/>
        </w:rPr>
      </w:pPr>
      <w:r>
        <w:rPr>
          <w:rFonts w:hint="eastAsia" w:ascii="仿宋" w:hAnsi="仿宋" w:eastAsia="仿宋" w:cs="仿宋"/>
          <w:color w:val="auto"/>
          <w:sz w:val="24"/>
          <w:szCs w:val="24"/>
          <w:highlight w:val="none"/>
          <w:u w:color="000000"/>
        </w:rPr>
        <w:t>（2）项目采用百分制，评审保留至小数点后两位。</w:t>
      </w:r>
    </w:p>
    <w:p w14:paraId="13C3BF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仿宋" w:hAnsi="仿宋" w:eastAsia="仿宋" w:cs="仿宋"/>
          <w:color w:val="auto"/>
          <w:sz w:val="24"/>
          <w:szCs w:val="24"/>
          <w:highlight w:val="none"/>
          <w:u w:color="000000"/>
          <w:lang w:val="en-US" w:eastAsia="zh-CN"/>
        </w:rPr>
      </w:pP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3</w:t>
      </w:r>
      <w:r>
        <w:rPr>
          <w:rFonts w:hint="eastAsia" w:ascii="仿宋" w:hAnsi="仿宋" w:eastAsia="仿宋" w:cs="仿宋"/>
          <w:color w:val="auto"/>
          <w:sz w:val="24"/>
          <w:szCs w:val="24"/>
          <w:highlight w:val="none"/>
          <w:u w:color="000000"/>
          <w:lang w:eastAsia="zh-CN"/>
        </w:rPr>
        <w:t>）</w:t>
      </w:r>
      <w:r>
        <w:rPr>
          <w:rFonts w:hint="eastAsia" w:ascii="仿宋" w:hAnsi="仿宋" w:eastAsia="仿宋" w:cs="仿宋"/>
          <w:color w:val="auto"/>
          <w:sz w:val="24"/>
          <w:szCs w:val="24"/>
          <w:highlight w:val="none"/>
          <w:u w:color="000000"/>
          <w:lang w:val="en-US" w:eastAsia="zh-CN"/>
        </w:rPr>
        <w:t>综合得分第一的参与遴选代理机构（出现并列第一的情况时，依序号顺序比对并列第一的参与遴选代理机构各评分项目得分，如价格分不相同，则价格分高的为综合得分第一，否则对比服务方案分，依此类推确定最终排名），为中标代理机构。</w:t>
      </w:r>
    </w:p>
    <w:p w14:paraId="622FAB89">
      <w:pPr>
        <w:keepNext w:val="0"/>
        <w:keepLines w:val="0"/>
        <w:pageBreakBefore w:val="0"/>
        <w:widowControl w:val="0"/>
        <w:kinsoku/>
        <w:wordWrap/>
        <w:topLinePunct w:val="0"/>
        <w:bidi w:val="0"/>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br w:type="page"/>
      </w:r>
    </w:p>
    <w:p w14:paraId="2B719B64">
      <w:pPr>
        <w:keepNext w:val="0"/>
        <w:keepLines w:val="0"/>
        <w:pageBreakBefore w:val="0"/>
        <w:widowControl w:val="0"/>
        <w:kinsoku/>
        <w:wordWrap/>
        <w:topLinePunct w:val="0"/>
        <w:bidi w:val="0"/>
        <w:jc w:val="center"/>
        <w:rPr>
          <w:rFonts w:hint="eastAsia" w:ascii="仿宋" w:hAnsi="仿宋" w:eastAsia="仿宋" w:cs="Times New Roman"/>
          <w:sz w:val="30"/>
          <w:szCs w:val="30"/>
          <w:highlight w:val="none"/>
        </w:rPr>
      </w:pPr>
      <w:r>
        <w:rPr>
          <w:rFonts w:hint="eastAsia" w:ascii="仿宋" w:hAnsi="仿宋" w:eastAsia="仿宋" w:cs="Times New Roman"/>
          <w:sz w:val="30"/>
          <w:szCs w:val="30"/>
          <w:highlight w:val="none"/>
        </w:rPr>
        <w:t>第二章</w:t>
      </w:r>
      <w:r>
        <w:rPr>
          <w:rFonts w:hint="eastAsia" w:ascii="仿宋" w:hAnsi="仿宋" w:eastAsia="仿宋" w:cs="Times New Roman"/>
          <w:sz w:val="30"/>
          <w:szCs w:val="30"/>
          <w:highlight w:val="none"/>
          <w:lang w:val="en-US" w:eastAsia="zh-CN"/>
        </w:rPr>
        <w:t xml:space="preserve"> </w:t>
      </w:r>
      <w:r>
        <w:rPr>
          <w:rFonts w:hint="eastAsia" w:ascii="仿宋" w:hAnsi="仿宋" w:eastAsia="仿宋" w:cs="Times New Roman"/>
          <w:sz w:val="30"/>
          <w:szCs w:val="30"/>
          <w:highlight w:val="none"/>
        </w:rPr>
        <w:t>采购需求</w:t>
      </w:r>
    </w:p>
    <w:p w14:paraId="40630360">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bookmarkStart w:id="13" w:name="_Toc396999011"/>
      <w:r>
        <w:rPr>
          <w:rFonts w:hint="eastAsia" w:ascii="仿宋" w:hAnsi="仿宋" w:eastAsia="仿宋" w:cs="仿宋"/>
          <w:sz w:val="24"/>
          <w:szCs w:val="24"/>
          <w:highlight w:val="none"/>
          <w:lang w:val="en-US" w:eastAsia="zh-CN"/>
        </w:rPr>
        <w:t>一、</w:t>
      </w:r>
      <w:bookmarkEnd w:id="13"/>
      <w:r>
        <w:rPr>
          <w:rFonts w:hint="eastAsia" w:ascii="仿宋" w:hAnsi="仿宋" w:eastAsia="仿宋" w:cs="仿宋"/>
          <w:sz w:val="24"/>
          <w:szCs w:val="24"/>
          <w:highlight w:val="none"/>
          <w:lang w:val="en-US" w:eastAsia="zh-CN"/>
        </w:rPr>
        <w:t>项目概况</w:t>
      </w:r>
    </w:p>
    <w:p w14:paraId="31854E9F">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b/>
          <w:bCs/>
          <w:color w:val="auto"/>
          <w:sz w:val="24"/>
          <w:szCs w:val="24"/>
          <w:highlight w:val="none"/>
        </w:rPr>
      </w:pPr>
      <w:r>
        <w:rPr>
          <w:rFonts w:hint="eastAsia" w:ascii="仿宋" w:hAnsi="仿宋" w:eastAsia="仿宋" w:cs="仿宋"/>
          <w:sz w:val="24"/>
          <w:szCs w:val="24"/>
          <w:highlight w:val="none"/>
        </w:rPr>
        <w:t>为规范资金执行过程和资金使用行为，提高资金使用效益，根据《中华人民共和国招标投标法》《中华人民共和国政府采购法》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江苏省中小学阳光食堂信息化监管服务平台业务指引（试行）</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rPr>
        <w:t>等有关</w:t>
      </w:r>
      <w:r>
        <w:rPr>
          <w:rFonts w:hint="eastAsia" w:ascii="仿宋" w:hAnsi="仿宋" w:eastAsia="仿宋" w:cs="仿宋"/>
          <w:sz w:val="24"/>
          <w:szCs w:val="24"/>
          <w:highlight w:val="none"/>
          <w:lang w:val="en-US" w:eastAsia="zh-CN"/>
        </w:rPr>
        <w:t>法律法规</w:t>
      </w:r>
      <w:r>
        <w:rPr>
          <w:rFonts w:hint="eastAsia" w:ascii="仿宋" w:hAnsi="仿宋" w:eastAsia="仿宋" w:cs="仿宋"/>
          <w:sz w:val="24"/>
          <w:szCs w:val="24"/>
          <w:highlight w:val="none"/>
        </w:rPr>
        <w:t>，本项目拟通过公开遴选方式确定1家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代理机构承接</w:t>
      </w:r>
      <w:r>
        <w:rPr>
          <w:rFonts w:hint="eastAsia" w:ascii="仿宋" w:hAnsi="仿宋" w:eastAsia="仿宋" w:cs="仿宋"/>
          <w:color w:val="000000" w:themeColor="text1"/>
          <w:sz w:val="24"/>
          <w:szCs w:val="24"/>
          <w:highlight w:val="none"/>
          <w:lang w:val="en-US" w:eastAsia="zh-CN"/>
          <w14:textFill>
            <w14:solidFill>
              <w14:schemeClr w14:val="tx1"/>
            </w14:solidFill>
          </w14:textFill>
        </w:rPr>
        <w:t>丰县中小学食堂食材采购、校外配餐企业</w:t>
      </w:r>
      <w:r>
        <w:rPr>
          <w:rFonts w:hint="eastAsia" w:ascii="仿宋" w:hAnsi="仿宋" w:eastAsia="仿宋" w:cs="仿宋"/>
          <w:color w:val="000000" w:themeColor="text1"/>
          <w:sz w:val="24"/>
          <w:szCs w:val="24"/>
          <w:highlight w:val="none"/>
          <w14:textFill>
            <w14:solidFill>
              <w14:schemeClr w14:val="tx1"/>
            </w14:solidFill>
          </w14:textFill>
        </w:rPr>
        <w:t>招标代理业务</w:t>
      </w:r>
      <w:r>
        <w:rPr>
          <w:rFonts w:hint="eastAsia" w:ascii="仿宋" w:hAnsi="仿宋" w:eastAsia="仿宋" w:cs="仿宋"/>
          <w:color w:val="auto"/>
          <w:sz w:val="24"/>
          <w:szCs w:val="24"/>
          <w:highlight w:val="none"/>
        </w:rPr>
        <w:t>。</w:t>
      </w:r>
    </w:p>
    <w:p w14:paraId="6225EDF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二、服务期：</w:t>
      </w:r>
    </w:p>
    <w:p w14:paraId="2401D36C">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期限</w:t>
      </w:r>
      <w:r>
        <w:rPr>
          <w:rFonts w:hint="eastAsia" w:ascii="仿宋" w:hAnsi="仿宋" w:eastAsia="仿宋" w:cs="仿宋"/>
          <w:color w:val="auto"/>
          <w:sz w:val="24"/>
          <w:szCs w:val="24"/>
          <w:highlight w:val="none"/>
          <w:lang w:val="en-US" w:eastAsia="zh-CN"/>
        </w:rPr>
        <w:t>至</w:t>
      </w:r>
      <w:r>
        <w:rPr>
          <w:rFonts w:hint="eastAsia" w:ascii="仿宋" w:hAnsi="仿宋" w:eastAsia="仿宋" w:cs="仿宋"/>
          <w:color w:val="auto"/>
          <w:sz w:val="24"/>
          <w:szCs w:val="24"/>
          <w:highlight w:val="none"/>
          <w:lang w:eastAsia="zh-CN"/>
        </w:rPr>
        <w:t>2026</w:t>
      </w:r>
      <w:r>
        <w:rPr>
          <w:rFonts w:hint="eastAsia" w:ascii="仿宋" w:hAnsi="仿宋" w:eastAsia="仿宋" w:cs="仿宋"/>
          <w:color w:val="auto"/>
          <w:sz w:val="24"/>
          <w:szCs w:val="24"/>
          <w:highlight w:val="none"/>
        </w:rPr>
        <w:t>年丰县中小学食堂食材采购、校外配餐企业合同签订完毕。</w:t>
      </w:r>
    </w:p>
    <w:p w14:paraId="2ABE8863">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三、服务内容及要求</w:t>
      </w:r>
    </w:p>
    <w:p w14:paraId="6A831302">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（一）配合采购人及时完成采购招标工作，工作内容包含：</w:t>
      </w:r>
    </w:p>
    <w:p w14:paraId="417D13C9">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1.采购招标咨询、策划；办理相关报批/备案手续；</w:t>
      </w:r>
    </w:p>
    <w:p w14:paraId="766CDA9C">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2.发布采购招标公告；</w:t>
      </w:r>
    </w:p>
    <w:p w14:paraId="490B95A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3.编制必要的资格预审文件；</w:t>
      </w:r>
    </w:p>
    <w:p w14:paraId="5C78C843">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4.组织接受投标资格申请人报名；</w:t>
      </w:r>
    </w:p>
    <w:p w14:paraId="20A78CB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5.审查</w:t>
      </w:r>
      <w:r>
        <w:rPr>
          <w:rFonts w:hint="eastAsia" w:ascii="仿宋" w:hAnsi="仿宋" w:eastAsia="仿宋" w:cs="仿宋"/>
          <w:sz w:val="24"/>
          <w:szCs w:val="24"/>
          <w:highlight w:val="none"/>
          <w:lang w:eastAsia="zh-CN"/>
        </w:rPr>
        <w:t>潜在供应商</w:t>
      </w:r>
      <w:r>
        <w:rPr>
          <w:rFonts w:hint="eastAsia" w:ascii="仿宋" w:hAnsi="仿宋" w:eastAsia="仿宋" w:cs="仿宋"/>
          <w:sz w:val="24"/>
          <w:szCs w:val="24"/>
          <w:highlight w:val="none"/>
        </w:rPr>
        <w:t>资格；</w:t>
      </w:r>
    </w:p>
    <w:p w14:paraId="56CDB17A">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6.编制并发出采购招标文件；</w:t>
      </w:r>
    </w:p>
    <w:p w14:paraId="2C1E783A">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7.组织必要的现场</w:t>
      </w:r>
      <w:r>
        <w:rPr>
          <w:rFonts w:hint="eastAsia" w:ascii="仿宋" w:hAnsi="仿宋" w:eastAsia="仿宋" w:cs="仿宋"/>
          <w:color w:val="auto"/>
          <w:sz w:val="24"/>
          <w:szCs w:val="24"/>
          <w:highlight w:val="none"/>
        </w:rPr>
        <w:t>踏勘</w:t>
      </w:r>
      <w:r>
        <w:rPr>
          <w:rFonts w:hint="eastAsia" w:ascii="仿宋" w:hAnsi="仿宋" w:eastAsia="仿宋" w:cs="仿宋"/>
          <w:sz w:val="24"/>
          <w:szCs w:val="24"/>
          <w:highlight w:val="none"/>
        </w:rPr>
        <w:t>和答疑；</w:t>
      </w:r>
    </w:p>
    <w:p w14:paraId="27F719EB">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8.组织开标、评标，留存真实完整的采购档案，妥善保管采购活动记录，及时反馈采购人；</w:t>
      </w:r>
    </w:p>
    <w:p w14:paraId="4DAA25D6">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9.对委托项目的评审工作现场进行全程录音录像备查，并将每个项目的录音录像拷贝于U盘，采购活动结束后，U盘和开评标资料文件一起移交给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，国家法规有相关规定的，从其规定；</w:t>
      </w:r>
    </w:p>
    <w:p w14:paraId="137A57F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10.编制招标投标情况书面报告；</w:t>
      </w:r>
    </w:p>
    <w:p w14:paraId="578C59D1">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11.发布中标（成交）公告；</w:t>
      </w:r>
    </w:p>
    <w:p w14:paraId="3E5E99A4">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12.办理中标（成交）通知书；</w:t>
      </w:r>
    </w:p>
    <w:p w14:paraId="4E3905F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13.按照国家政策法规和采购人规章制度要求完整、清楚、准确地编制归档资料文件，并将归档资料和相关文件于中标通知书发出之日或质疑答复结束之日起5个工作日内送交采购人；</w:t>
      </w:r>
    </w:p>
    <w:p w14:paraId="7CA5AE76">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14.积极配合</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，及时处理、答复供应商的质疑，不得敷衍、推诿、拖延或不处理；</w:t>
      </w:r>
    </w:p>
    <w:p w14:paraId="7B22E2B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15.办理与采购招标项目相关的进场、报批、备案等相关手续；</w:t>
      </w:r>
    </w:p>
    <w:p w14:paraId="0461993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lang w:val="en-US" w:eastAsia="zh-CN"/>
        </w:rPr>
        <w:t>限内</w:t>
      </w:r>
      <w:r>
        <w:rPr>
          <w:rFonts w:hint="eastAsia" w:ascii="仿宋" w:hAnsi="仿宋" w:eastAsia="仿宋" w:cs="仿宋"/>
          <w:color w:val="auto"/>
          <w:sz w:val="24"/>
          <w:szCs w:val="24"/>
          <w:highlight w:val="none"/>
        </w:rPr>
        <w:t>，如国</w:t>
      </w:r>
      <w:r>
        <w:rPr>
          <w:rFonts w:hint="eastAsia" w:ascii="仿宋" w:hAnsi="仿宋" w:eastAsia="仿宋" w:cs="仿宋"/>
          <w:sz w:val="24"/>
          <w:szCs w:val="24"/>
          <w:highlight w:val="none"/>
        </w:rPr>
        <w:t>家对采购招标管理工作提出新要求，应遵循新规定或配合</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遵守新规定要求；</w:t>
      </w:r>
    </w:p>
    <w:p w14:paraId="2F3FDF7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17.采购人的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相关要求。</w:t>
      </w:r>
    </w:p>
    <w:p w14:paraId="406CEE89">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（二）服务要求</w:t>
      </w:r>
    </w:p>
    <w:p w14:paraId="2E07E5D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1.应严格遵守《中华人民共和国招标投标法》《中华人民共和国政府采购法》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江苏省中小学阳光食堂信息化监管服务平台业务指引（试行）</w:t>
      </w:r>
      <w:r>
        <w:rPr>
          <w:rFonts w:hint="eastAsia" w:ascii="仿宋" w:hAnsi="仿宋" w:eastAsia="仿宋" w:cs="仿宋"/>
          <w:color w:val="auto"/>
          <w:sz w:val="24"/>
          <w:szCs w:val="24"/>
          <w:highlight w:val="none"/>
          <w:lang w:eastAsia="zh-CN"/>
        </w:rPr>
        <w:t>》</w:t>
      </w:r>
      <w:r>
        <w:rPr>
          <w:rFonts w:hint="eastAsia" w:ascii="仿宋" w:hAnsi="仿宋" w:eastAsia="仿宋" w:cs="仿宋"/>
          <w:sz w:val="24"/>
          <w:szCs w:val="24"/>
          <w:highlight w:val="none"/>
        </w:rPr>
        <w:t>等有关法律法规，按照“公平、公开、公正”的原则，进行招标、开标、评标工作，积极为</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提供委托范围内的采购招标代理服务。</w:t>
      </w:r>
    </w:p>
    <w:p w14:paraId="000974C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2.代理机构应严格遵守国家有关政府采购代理机构的各项规定，严格保守秘密，并接受各方的监督。</w:t>
      </w:r>
    </w:p>
    <w:p w14:paraId="05D1999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3.代理机构应认真研究</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提供的采购招标项目的背景情况、资料及具体要求，按照招投标、政府采购等有关法律法规和相关规定，向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提出咨询意见。</w:t>
      </w:r>
    </w:p>
    <w:p w14:paraId="54FDD82C">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4.代理机构应积极配合整个项目的进度，协助</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制定合理的采购招标工作计划，并严格按计划贯彻实施，合理安排人员确保各项工作的顺利衔接和总体进度目标的实现，并分阶段或定期向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通报采购招标进展情况。</w:t>
      </w:r>
    </w:p>
    <w:p w14:paraId="295AFED3">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5.严格按照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在时间进度、服务质量上的要求进行采购招标代理工作。</w:t>
      </w:r>
    </w:p>
    <w:p w14:paraId="22EEA910">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6.严格按照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的指令计划开展工作，在采购招标工作实施过程中始终将维护和尊重</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的权益放在首位。</w:t>
      </w:r>
    </w:p>
    <w:p w14:paraId="38D89E6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7.招标文件的编制、审查和有关手续的办理</w:t>
      </w:r>
    </w:p>
    <w:p w14:paraId="6942D71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7.1招标文件的编写严格按照相关国际标准、国家标准或行业标准和规范要求，满足</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提出的要求，并在编制时加以说明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审查认可后方可对外出售。</w:t>
      </w:r>
    </w:p>
    <w:p w14:paraId="4441CA1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7.2在代理过程中如果出现因代理机构原因造成的招标文件质量问题或者编制不及时而影响招标进度的，应承担相关责任。</w:t>
      </w:r>
    </w:p>
    <w:p w14:paraId="2AF1EA09">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8.招标文件售价</w:t>
      </w:r>
    </w:p>
    <w:p w14:paraId="1DAC186A">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8.1招标文件售价应符合国家及省市有关法律法规规定及本项目招投标文件要求。</w:t>
      </w:r>
    </w:p>
    <w:p w14:paraId="6E31565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9.信息公告的发布</w:t>
      </w:r>
    </w:p>
    <w:p w14:paraId="75CB7FB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9.1应按照国家有关法律法规，规定时间内完成招标公告的起草，并报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审查认可。</w:t>
      </w:r>
    </w:p>
    <w:p w14:paraId="1AF027A4">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9.2在代理过程中，在时间安排符合相关法律法规的前提下，最大限度的满足业主的要求，保证招标文件审查顺利及时。</w:t>
      </w:r>
    </w:p>
    <w:p w14:paraId="0A2D780D">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9.3由代理机构根据有关规定在指定的媒体上发布招标公告、中标公告等信息。</w:t>
      </w:r>
    </w:p>
    <w:p w14:paraId="0D634A6A">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10.办公地点及开标地点</w:t>
      </w:r>
    </w:p>
    <w:p w14:paraId="352A871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10.1开标室、评标室具有符合相关规定的软硬件设施，满足视频监控录像等相关要求，两室应相对独立，避免干扰评委</w:t>
      </w:r>
      <w:r>
        <w:rPr>
          <w:rFonts w:hint="eastAsia" w:ascii="仿宋" w:hAnsi="仿宋" w:eastAsia="仿宋" w:cs="仿宋"/>
          <w:sz w:val="24"/>
          <w:szCs w:val="24"/>
          <w:highlight w:val="none"/>
          <w:lang w:eastAsia="zh-CN"/>
        </w:rPr>
        <w:t>。</w:t>
      </w:r>
    </w:p>
    <w:p w14:paraId="3B8E7618">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11.招标文件的答疑及现场踏勘</w:t>
      </w:r>
    </w:p>
    <w:p w14:paraId="63555BA5">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11.1及时传达踏勘信息，会同</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组织标前答疑及有关招标文件的澄清、答疑和修改工作。</w:t>
      </w:r>
    </w:p>
    <w:p w14:paraId="5CA9BC7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12.开标及评标</w:t>
      </w:r>
    </w:p>
    <w:p w14:paraId="76B097F7">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12.1开标前的准备工作</w:t>
      </w:r>
    </w:p>
    <w:p w14:paraId="6FC2E466">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提前与</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协商确定拟订开标议程、地点等，以保证开标会的有序进行。</w:t>
      </w:r>
    </w:p>
    <w:p w14:paraId="22C11F0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委托项目开标前三天，代理公司须通过书面、电话等形式通知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相关人员开标、评标时间、地点等相关事项。</w:t>
      </w:r>
    </w:p>
    <w:p w14:paraId="65D13B9E">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12.2评标委员会</w:t>
      </w:r>
    </w:p>
    <w:p w14:paraId="26E90CF1">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有关专家的抽取由代理机构在开标前按照国家相关法律法规及</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要求的评标专家库中从符合专业要求的专家名单中随机抽取。</w:t>
      </w:r>
    </w:p>
    <w:p w14:paraId="55A24CA5">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12.3评标组织</w:t>
      </w:r>
    </w:p>
    <w:p w14:paraId="4E6340A4">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评标时，授权代理机构审查项目投标人资格条件，要求复核各评委评审客观分，保持一致</w:t>
      </w:r>
      <w:r>
        <w:rPr>
          <w:rFonts w:hint="eastAsia" w:ascii="仿宋" w:hAnsi="仿宋" w:eastAsia="仿宋" w:cs="仿宋"/>
          <w:sz w:val="24"/>
          <w:szCs w:val="24"/>
          <w:highlight w:val="none"/>
          <w:lang w:eastAsia="zh-CN"/>
        </w:rPr>
        <w:t>。</w:t>
      </w:r>
    </w:p>
    <w:p w14:paraId="50B3A03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13.评标报告的编制、报送要求</w:t>
      </w:r>
    </w:p>
    <w:p w14:paraId="1616CA4F">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13.1代理机构应严格忠实地记录全过程，尤其是开评标过程，并且形成书面记录，以评标报告的形式向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递交，其中所有的开评标过程文件必须与评标报告一同递交。</w:t>
      </w:r>
    </w:p>
    <w:p w14:paraId="035BE822">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13.2招标工作结束后，代理机构应及时整理评标报告及招标、开标过程中的文件、记录和资料，形成评标资料汇编，并</w:t>
      </w:r>
      <w:r>
        <w:rPr>
          <w:rFonts w:hint="eastAsia" w:ascii="仿宋" w:hAnsi="仿宋" w:eastAsia="仿宋" w:cs="仿宋"/>
          <w:sz w:val="24"/>
          <w:szCs w:val="24"/>
          <w:highlight w:val="none"/>
          <w:lang w:val="en-US" w:eastAsia="zh-CN"/>
        </w:rPr>
        <w:t>于</w:t>
      </w:r>
      <w:r>
        <w:rPr>
          <w:rFonts w:hint="eastAsia" w:ascii="仿宋" w:hAnsi="仿宋" w:eastAsia="仿宋" w:cs="仿宋"/>
          <w:sz w:val="24"/>
          <w:szCs w:val="24"/>
          <w:highlight w:val="none"/>
        </w:rPr>
        <w:t>评标工作完成后5个工作日内向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报送。</w:t>
      </w:r>
    </w:p>
    <w:p w14:paraId="77E51300">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14.评标报告及中标通知书</w:t>
      </w:r>
    </w:p>
    <w:p w14:paraId="2A16DF1D">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14.1评标结果经</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确认后，由代理机构将评标结果在指定媒体上发布进行公示。</w:t>
      </w:r>
    </w:p>
    <w:p w14:paraId="4A7A159B">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发出中标（成交）确认函后，代理机构应在5个工作日内完成相关程序，将中标（成交）通知书交给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和通知投标人。</w:t>
      </w:r>
    </w:p>
    <w:p w14:paraId="489BAC61">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15.质疑投诉</w:t>
      </w:r>
    </w:p>
    <w:p w14:paraId="1730F39C">
      <w:pPr>
        <w:pStyle w:val="13"/>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15.1招标活动中若发生质疑或投诉，代理机构要负责协调相关方，主动及时处理好有关质疑或投诉，并将处理情况或相关说明以书面形式报给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p>
    <w:p w14:paraId="4BFE7080">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（三）其他要求</w:t>
      </w:r>
    </w:p>
    <w:p w14:paraId="7B2ECD9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1.具备企业关联关系查询工具，并在开标/评审前查询</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供应商之间的关联关系，</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供应商之间存在可疑关联关系的要及时向采购人报告，并在评标/评审时提醒专家严格审核；如因代理机构未及时发现</w:t>
      </w:r>
      <w:r>
        <w:rPr>
          <w:rFonts w:hint="eastAsia" w:ascii="仿宋" w:hAnsi="仿宋" w:eastAsia="仿宋" w:cs="仿宋"/>
          <w:sz w:val="24"/>
          <w:szCs w:val="24"/>
          <w:highlight w:val="none"/>
          <w:lang w:val="en-US" w:eastAsia="zh-CN"/>
        </w:rPr>
        <w:t>潜在</w:t>
      </w:r>
      <w:r>
        <w:rPr>
          <w:rFonts w:hint="eastAsia" w:ascii="仿宋" w:hAnsi="仿宋" w:eastAsia="仿宋" w:cs="仿宋"/>
          <w:sz w:val="24"/>
          <w:szCs w:val="24"/>
          <w:highlight w:val="none"/>
        </w:rPr>
        <w:t>供应商之间可能存在的可疑关联关系而导致</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利益受损（包含但不限于因此引发质疑投诉导致采购进度受阻等）的，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有权中止或终止双方合作</w:t>
      </w:r>
      <w:r>
        <w:rPr>
          <w:rFonts w:hint="eastAsia" w:ascii="仿宋" w:hAnsi="仿宋" w:eastAsia="仿宋" w:cs="仿宋"/>
          <w:sz w:val="24"/>
          <w:szCs w:val="24"/>
          <w:highlight w:val="none"/>
          <w:lang w:eastAsia="zh-CN"/>
        </w:rPr>
        <w:t>。</w:t>
      </w:r>
    </w:p>
    <w:p w14:paraId="4D930E8C">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2.不得将本次遴选所确定的采购招标代理服务转让给第三方</w:t>
      </w:r>
      <w:r>
        <w:rPr>
          <w:rFonts w:hint="eastAsia" w:ascii="仿宋" w:hAnsi="仿宋" w:eastAsia="仿宋" w:cs="仿宋"/>
          <w:sz w:val="24"/>
          <w:szCs w:val="24"/>
          <w:highlight w:val="none"/>
          <w:lang w:eastAsia="zh-CN"/>
        </w:rPr>
        <w:t>。</w:t>
      </w:r>
    </w:p>
    <w:p w14:paraId="1DA1FD48">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3.不得在所代理的采购招标项目中投标或者代理投标</w:t>
      </w:r>
      <w:r>
        <w:rPr>
          <w:rFonts w:hint="eastAsia" w:ascii="仿宋" w:hAnsi="仿宋" w:eastAsia="仿宋" w:cs="仿宋"/>
          <w:sz w:val="24"/>
          <w:szCs w:val="24"/>
          <w:highlight w:val="none"/>
          <w:lang w:eastAsia="zh-CN"/>
        </w:rPr>
        <w:t>。</w:t>
      </w:r>
    </w:p>
    <w:p w14:paraId="6A7E86A0">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4.工作人员如与具体采购招标项目的潜在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有任何利益关系应主动回避，如因此引发质疑投诉等导致</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利益受损（包含但不限于影响项目执行进度），</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可单方面中止或终止双方合作</w:t>
      </w:r>
      <w:r>
        <w:rPr>
          <w:rFonts w:hint="eastAsia" w:ascii="仿宋" w:hAnsi="仿宋" w:eastAsia="仿宋" w:cs="仿宋"/>
          <w:sz w:val="24"/>
          <w:szCs w:val="24"/>
          <w:highlight w:val="none"/>
          <w:lang w:eastAsia="zh-CN"/>
        </w:rPr>
        <w:t>。</w:t>
      </w:r>
    </w:p>
    <w:p w14:paraId="12FF8F4E">
      <w:pPr>
        <w:keepNext w:val="0"/>
        <w:keepLines w:val="0"/>
        <w:pageBreakBefore w:val="0"/>
        <w:widowControl w:val="0"/>
        <w:kinsoku/>
        <w:wordWrap/>
        <w:topLinePunct w:val="0"/>
        <w:bidi w:val="0"/>
        <w:spacing w:line="56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5.在代理活动中不得泄露应当保密的任何信息。</w:t>
      </w:r>
    </w:p>
    <w:p w14:paraId="71295B61">
      <w:pPr>
        <w:pStyle w:val="38"/>
        <w:keepNext w:val="0"/>
        <w:keepLines w:val="0"/>
        <w:pageBreakBefore w:val="0"/>
        <w:widowControl w:val="0"/>
        <w:kinsoku/>
        <w:wordWrap/>
        <w:topLinePunct w:val="0"/>
        <w:bidi w:val="0"/>
        <w:spacing w:line="560" w:lineRule="exact"/>
        <w:ind w:firstLine="48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6.服务期内未经</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允许，不得更换项目负责人和项目组成员，经采购人允许更换的人员不得低于原有水平。</w:t>
      </w:r>
    </w:p>
    <w:p w14:paraId="5AA39358">
      <w:pPr>
        <w:keepNext w:val="0"/>
        <w:keepLines w:val="0"/>
        <w:pageBreakBefore w:val="0"/>
        <w:widowControl w:val="0"/>
        <w:kinsoku/>
        <w:wordWrap/>
        <w:topLinePunct w:val="0"/>
        <w:bidi w:val="0"/>
        <w:snapToGrid w:val="0"/>
        <w:spacing w:line="560" w:lineRule="exact"/>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7.项目负责人必须全程负责委托招标项目的相关事宜，能够对采购文件的编制、审核给予专业性的建议。</w:t>
      </w:r>
    </w:p>
    <w:p w14:paraId="50588197">
      <w:pPr>
        <w:keepNext w:val="0"/>
        <w:keepLines w:val="0"/>
        <w:pageBreakBefore w:val="0"/>
        <w:widowControl w:val="0"/>
        <w:kinsoku/>
        <w:wordWrap/>
        <w:topLinePunct w:val="0"/>
        <w:bidi w:val="0"/>
        <w:snapToGrid w:val="0"/>
        <w:spacing w:line="560" w:lineRule="exact"/>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8.如</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有需要，项目负责人应按</w:t>
      </w:r>
      <w:r>
        <w:rPr>
          <w:rFonts w:hint="eastAsia" w:ascii="仿宋" w:hAnsi="仿宋" w:eastAsia="仿宋" w:cs="仿宋"/>
          <w:sz w:val="24"/>
          <w:szCs w:val="24"/>
          <w:highlight w:val="none"/>
          <w:lang w:val="en-US" w:eastAsia="zh-CN"/>
        </w:rPr>
        <w:t>采购人</w:t>
      </w:r>
      <w:r>
        <w:rPr>
          <w:rFonts w:hint="eastAsia" w:ascii="仿宋" w:hAnsi="仿宋" w:eastAsia="仿宋" w:cs="仿宋"/>
          <w:kern w:val="2"/>
          <w:sz w:val="24"/>
          <w:szCs w:val="24"/>
          <w:highlight w:val="none"/>
          <w:lang w:val="en-US" w:eastAsia="zh-CN" w:bidi="ar-SA"/>
        </w:rPr>
        <w:t>要求参加委托项目的采购文件会审。</w:t>
      </w:r>
    </w:p>
    <w:p w14:paraId="6E7069E6">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（四）服务考核</w:t>
      </w:r>
      <w:r>
        <w:rPr>
          <w:rFonts w:hint="eastAsia" w:ascii="仿宋" w:hAnsi="仿宋" w:eastAsia="仿宋" w:cs="仿宋"/>
          <w:sz w:val="24"/>
          <w:szCs w:val="24"/>
          <w:highlight w:val="none"/>
          <w:lang w:val="en-US" w:eastAsia="zh-CN"/>
        </w:rPr>
        <w:t>要求</w:t>
      </w:r>
    </w:p>
    <w:p w14:paraId="699B99E8">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中标人应严格遵守有关国家法规，按照</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和采</w:t>
      </w:r>
      <w:r>
        <w:rPr>
          <w:rFonts w:hint="eastAsia" w:ascii="仿宋" w:hAnsi="仿宋" w:eastAsia="仿宋" w:cs="仿宋"/>
          <w:sz w:val="24"/>
          <w:szCs w:val="24"/>
          <w:highlight w:val="none"/>
        </w:rPr>
        <w:t>购人要求廉洁合作，发生下列行为的，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有权视情节或受损失轻重，</w:t>
      </w:r>
      <w:r>
        <w:rPr>
          <w:rFonts w:hint="eastAsia" w:ascii="仿宋" w:hAnsi="仿宋" w:eastAsia="仿宋" w:cs="仿宋"/>
          <w:sz w:val="24"/>
          <w:szCs w:val="24"/>
          <w:highlight w:val="none"/>
          <w:lang w:val="en-US" w:eastAsia="zh-CN"/>
        </w:rPr>
        <w:t>中止</w:t>
      </w:r>
      <w:r>
        <w:rPr>
          <w:rFonts w:hint="eastAsia" w:ascii="仿宋" w:hAnsi="仿宋" w:eastAsia="仿宋" w:cs="仿宋"/>
          <w:sz w:val="24"/>
          <w:szCs w:val="24"/>
          <w:highlight w:val="none"/>
        </w:rPr>
        <w:t>或终止委托业务。中标人除赔偿</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损失外，还需承担相关法律责任：</w:t>
      </w:r>
    </w:p>
    <w:p w14:paraId="116C5524">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1.私自调整招标代理服务费收费标准，违反招投标文件约定的；</w:t>
      </w:r>
    </w:p>
    <w:p w14:paraId="040B0339">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2.中标人就采</w:t>
      </w:r>
      <w:r>
        <w:rPr>
          <w:rFonts w:hint="eastAsia" w:ascii="仿宋" w:hAnsi="仿宋" w:eastAsia="仿宋" w:cs="仿宋"/>
          <w:color w:val="auto"/>
          <w:sz w:val="24"/>
          <w:szCs w:val="24"/>
          <w:highlight w:val="none"/>
        </w:rPr>
        <w:t>购人委托的采购项目未</w:t>
      </w:r>
      <w:r>
        <w:rPr>
          <w:rFonts w:hint="eastAsia" w:ascii="仿宋" w:hAnsi="仿宋" w:eastAsia="仿宋" w:cs="仿宋"/>
          <w:color w:val="auto"/>
          <w:sz w:val="24"/>
          <w:szCs w:val="24"/>
          <w:highlight w:val="none"/>
          <w:lang w:val="en-US" w:eastAsia="zh-CN"/>
        </w:rPr>
        <w:t>按要求</w:t>
      </w:r>
      <w:r>
        <w:rPr>
          <w:rFonts w:hint="eastAsia" w:ascii="仿宋" w:hAnsi="仿宋" w:eastAsia="仿宋" w:cs="仿宋"/>
          <w:color w:val="auto"/>
          <w:sz w:val="24"/>
          <w:szCs w:val="24"/>
          <w:highlight w:val="none"/>
        </w:rPr>
        <w:t>抽取评标专家，私自确定评标专家的；</w:t>
      </w:r>
    </w:p>
    <w:p w14:paraId="35875D93">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3.招标文件未按照相关政策法规或采购人</w:t>
      </w:r>
      <w:r>
        <w:rPr>
          <w:rFonts w:hint="eastAsia" w:ascii="仿宋" w:hAnsi="仿宋" w:eastAsia="仿宋" w:cs="仿宋"/>
          <w:sz w:val="24"/>
          <w:szCs w:val="24"/>
          <w:highlight w:val="none"/>
        </w:rPr>
        <w:t>要求，或未在规定时间内拟定反馈的；</w:t>
      </w:r>
    </w:p>
    <w:p w14:paraId="251DAF43">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4.未按规定流程组织开标、评标或对评标过程组织流程不够规范的；</w:t>
      </w:r>
    </w:p>
    <w:p w14:paraId="7ED97587">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5.报名截止</w:t>
      </w:r>
      <w:r>
        <w:rPr>
          <w:rFonts w:hint="eastAsia" w:ascii="仿宋" w:hAnsi="仿宋" w:eastAsia="仿宋" w:cs="仿宋"/>
          <w:sz w:val="24"/>
          <w:szCs w:val="24"/>
          <w:highlight w:val="none"/>
          <w:lang w:val="en-US" w:eastAsia="zh-CN"/>
        </w:rPr>
        <w:t>时间</w:t>
      </w:r>
      <w:r>
        <w:rPr>
          <w:rFonts w:hint="eastAsia" w:ascii="仿宋" w:hAnsi="仿宋" w:eastAsia="仿宋" w:cs="仿宋"/>
          <w:sz w:val="24"/>
          <w:szCs w:val="24"/>
          <w:highlight w:val="none"/>
        </w:rPr>
        <w:t>后继续允许供应商报名的；</w:t>
      </w:r>
    </w:p>
    <w:p w14:paraId="777EB43A">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6.发给供应商的招标文件和</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最终定稿的招标文件不一致的；</w:t>
      </w:r>
    </w:p>
    <w:p w14:paraId="52D4FC65">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7.中标人负有保密责任，对</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提供的文件、资料、数据等工作成果，中标人复制、泄露、传送给第三人或用于本协议外的项目的给</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造成损失的；</w:t>
      </w:r>
    </w:p>
    <w:p w14:paraId="4FE39B1D">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8.</w:t>
      </w:r>
      <w:r>
        <w:rPr>
          <w:rFonts w:hint="eastAsia" w:ascii="仿宋" w:hAnsi="仿宋" w:eastAsia="仿宋" w:cs="仿宋"/>
          <w:sz w:val="24"/>
          <w:szCs w:val="24"/>
          <w:highlight w:val="none"/>
          <w:lang w:val="en-US" w:eastAsia="zh-CN"/>
        </w:rPr>
        <w:t>在代理过程中，</w:t>
      </w:r>
      <w:r>
        <w:rPr>
          <w:rFonts w:hint="eastAsia" w:ascii="仿宋" w:hAnsi="仿宋" w:eastAsia="仿宋" w:cs="仿宋"/>
          <w:sz w:val="24"/>
          <w:szCs w:val="24"/>
          <w:highlight w:val="none"/>
        </w:rPr>
        <w:t>代理经办人未严格遵守有关国家法规廉洁合作，发生索贿、受贿、接受</w:t>
      </w:r>
      <w:r>
        <w:rPr>
          <w:rFonts w:hint="eastAsia" w:ascii="仿宋" w:hAnsi="仿宋" w:eastAsia="仿宋" w:cs="仿宋"/>
          <w:color w:val="auto"/>
          <w:sz w:val="24"/>
          <w:szCs w:val="24"/>
          <w:highlight w:val="none"/>
          <w:lang w:val="en-US" w:eastAsia="zh-CN"/>
        </w:rPr>
        <w:t>潜在供应商</w:t>
      </w:r>
      <w:r>
        <w:rPr>
          <w:rFonts w:hint="eastAsia" w:ascii="仿宋" w:hAnsi="仿宋" w:eastAsia="仿宋" w:cs="仿宋"/>
          <w:color w:val="auto"/>
          <w:sz w:val="24"/>
          <w:szCs w:val="24"/>
          <w:highlight w:val="none"/>
        </w:rPr>
        <w:t>赠品等任何形式的违法乱纪行为的；</w:t>
      </w:r>
    </w:p>
    <w:p w14:paraId="69C27B01">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9.在代理过程中，由于代理经办人原因（包括但不限于专业性不够、受其他利益第三方影响、其他主观故意等），导致出现重大差错的；</w:t>
      </w:r>
    </w:p>
    <w:p w14:paraId="64F5BC8A">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10.其他违反招投标相关法律法规和</w:t>
      </w:r>
      <w:r>
        <w:rPr>
          <w:rFonts w:hint="eastAsia" w:ascii="仿宋" w:hAnsi="仿宋" w:eastAsia="仿宋" w:cs="仿宋"/>
          <w:color w:val="auto"/>
          <w:sz w:val="24"/>
          <w:szCs w:val="24"/>
          <w:highlight w:val="none"/>
          <w:lang w:val="en-US" w:eastAsia="zh-CN"/>
        </w:rPr>
        <w:t>响应文件</w:t>
      </w:r>
      <w:r>
        <w:rPr>
          <w:rFonts w:hint="eastAsia" w:ascii="仿宋" w:hAnsi="仿宋" w:eastAsia="仿宋" w:cs="仿宋"/>
          <w:color w:val="auto"/>
          <w:sz w:val="24"/>
          <w:szCs w:val="24"/>
          <w:highlight w:val="none"/>
        </w:rPr>
        <w:t>约定的</w:t>
      </w:r>
      <w:r>
        <w:rPr>
          <w:rFonts w:hint="eastAsia" w:ascii="仿宋" w:hAnsi="仿宋" w:eastAsia="仿宋" w:cs="仿宋"/>
          <w:sz w:val="24"/>
          <w:szCs w:val="24"/>
          <w:highlight w:val="none"/>
        </w:rPr>
        <w:t>行为。</w:t>
      </w:r>
    </w:p>
    <w:p w14:paraId="424ED88B">
      <w:pPr>
        <w:keepNext w:val="0"/>
        <w:keepLines w:val="0"/>
        <w:pageBreakBefore w:val="0"/>
        <w:widowControl w:val="0"/>
        <w:kinsoku/>
        <w:wordWrap/>
        <w:topLinePunct w:val="0"/>
        <w:bidi w:val="0"/>
        <w:adjustRightInd w:val="0"/>
        <w:snapToGrid w:val="0"/>
        <w:spacing w:line="56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四、团队人员、服务设施要求</w:t>
      </w:r>
    </w:p>
    <w:p w14:paraId="65D6213D">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1.服务团队要求：</w:t>
      </w:r>
    </w:p>
    <w:p w14:paraId="62C60BB5">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提供关于本项目的团队人员名单及履历材料，人员不少于</w:t>
      </w:r>
      <w:r>
        <w:rPr>
          <w:rFonts w:hint="eastAsia" w:ascii="仿宋" w:hAnsi="仿宋" w:eastAsia="仿宋" w:cs="仿宋"/>
          <w:color w:val="auto"/>
          <w:sz w:val="24"/>
          <w:szCs w:val="24"/>
          <w:highlight w:val="none"/>
        </w:rPr>
        <w:t>5名</w:t>
      </w:r>
      <w:r>
        <w:rPr>
          <w:rFonts w:hint="eastAsia" w:ascii="仿宋" w:hAnsi="仿宋" w:eastAsia="仿宋" w:cs="仿宋"/>
          <w:sz w:val="24"/>
          <w:szCs w:val="24"/>
          <w:highlight w:val="none"/>
        </w:rPr>
        <w:t>（含项目负责人1名），提供团队成员在投标单位社保缴纳证明及相关证书复印件并加盖公章。</w:t>
      </w:r>
    </w:p>
    <w:p w14:paraId="51493ED2">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2.开标、评标场地和服务设施说明</w:t>
      </w:r>
    </w:p>
    <w:p w14:paraId="20446F12">
      <w:pPr>
        <w:pStyle w:val="13"/>
        <w:keepNext w:val="0"/>
        <w:keepLines w:val="0"/>
        <w:pageBreakBefore w:val="0"/>
        <w:widowControl w:val="0"/>
        <w:kinsoku/>
        <w:wordWrap/>
        <w:topLinePunct w:val="0"/>
        <w:bidi w:val="0"/>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投标文件</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提供关于开标、评标</w:t>
      </w:r>
      <w:r>
        <w:rPr>
          <w:rFonts w:hint="eastAsia" w:ascii="仿宋" w:hAnsi="仿宋" w:eastAsia="仿宋" w:cs="仿宋"/>
          <w:sz w:val="24"/>
          <w:szCs w:val="24"/>
          <w:highlight w:val="none"/>
          <w:lang w:val="en-US" w:eastAsia="zh-CN"/>
        </w:rPr>
        <w:t>的场地</w:t>
      </w:r>
      <w:r>
        <w:rPr>
          <w:rFonts w:hint="eastAsia" w:ascii="仿宋" w:hAnsi="仿宋" w:eastAsia="仿宋" w:cs="仿宋"/>
          <w:sz w:val="24"/>
          <w:szCs w:val="24"/>
          <w:highlight w:val="none"/>
        </w:rPr>
        <w:t>使用、空间环境、软硬件设施、地理位置的详细说明。</w:t>
      </w:r>
      <w:bookmarkEnd w:id="11"/>
      <w:bookmarkEnd w:id="12"/>
    </w:p>
    <w:p w14:paraId="1C4555A6">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9D61AAD">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第三章 响应文件格式</w:t>
      </w:r>
    </w:p>
    <w:p w14:paraId="35CA28F4">
      <w:pPr>
        <w:spacing w:line="560" w:lineRule="exact"/>
        <w:rPr>
          <w:rFonts w:hint="eastAsia" w:ascii="仿宋" w:hAnsi="仿宋" w:eastAsia="仿宋" w:cs="仿宋"/>
          <w:b/>
          <w:bCs/>
          <w:sz w:val="24"/>
          <w:szCs w:val="24"/>
          <w:highlight w:val="none"/>
        </w:rPr>
      </w:pPr>
    </w:p>
    <w:p w14:paraId="2791FBC6">
      <w:pPr>
        <w:spacing w:line="560" w:lineRule="exact"/>
        <w:rPr>
          <w:rFonts w:hint="eastAsia" w:ascii="仿宋" w:hAnsi="仿宋" w:eastAsia="仿宋" w:cs="仿宋"/>
          <w:sz w:val="24"/>
          <w:szCs w:val="24"/>
          <w:highlight w:val="none"/>
        </w:rPr>
      </w:pPr>
    </w:p>
    <w:p w14:paraId="26749A52">
      <w:pPr>
        <w:spacing w:line="560" w:lineRule="exact"/>
        <w:jc w:val="center"/>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（项目名称）</w:t>
      </w:r>
    </w:p>
    <w:p w14:paraId="625108E3">
      <w:pPr>
        <w:pStyle w:val="37"/>
        <w:spacing w:line="560" w:lineRule="exact"/>
        <w:rPr>
          <w:rFonts w:hint="eastAsia" w:ascii="仿宋" w:hAnsi="仿宋" w:eastAsia="仿宋" w:cs="仿宋"/>
          <w:sz w:val="24"/>
          <w:szCs w:val="24"/>
          <w:highlight w:val="none"/>
          <w:lang w:eastAsia="zh-CN"/>
        </w:rPr>
      </w:pPr>
    </w:p>
    <w:p w14:paraId="71D313DE">
      <w:pPr>
        <w:spacing w:line="560" w:lineRule="exact"/>
        <w:rPr>
          <w:rFonts w:hint="eastAsia" w:ascii="仿宋" w:hAnsi="仿宋" w:eastAsia="仿宋" w:cs="仿宋"/>
          <w:sz w:val="24"/>
          <w:szCs w:val="24"/>
          <w:highlight w:val="none"/>
        </w:rPr>
      </w:pPr>
    </w:p>
    <w:p w14:paraId="49AE2D46">
      <w:pPr>
        <w:spacing w:line="560" w:lineRule="exact"/>
        <w:rPr>
          <w:rFonts w:hint="eastAsia" w:ascii="仿宋" w:hAnsi="仿宋" w:eastAsia="仿宋" w:cs="仿宋"/>
          <w:sz w:val="24"/>
          <w:szCs w:val="24"/>
          <w:highlight w:val="none"/>
        </w:rPr>
      </w:pPr>
    </w:p>
    <w:p w14:paraId="3A0BB98F">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遴选响应文件</w:t>
      </w:r>
    </w:p>
    <w:p w14:paraId="6EDA88B3">
      <w:pPr>
        <w:spacing w:line="560" w:lineRule="exact"/>
        <w:rPr>
          <w:rFonts w:hint="eastAsia" w:ascii="仿宋" w:hAnsi="仿宋" w:eastAsia="仿宋" w:cs="仿宋"/>
          <w:sz w:val="24"/>
          <w:szCs w:val="24"/>
          <w:highlight w:val="none"/>
        </w:rPr>
      </w:pPr>
    </w:p>
    <w:p w14:paraId="50BB2E7E">
      <w:pPr>
        <w:spacing w:line="560" w:lineRule="exact"/>
        <w:rPr>
          <w:rFonts w:hint="eastAsia" w:ascii="仿宋" w:hAnsi="仿宋" w:eastAsia="仿宋" w:cs="仿宋"/>
          <w:sz w:val="24"/>
          <w:szCs w:val="24"/>
          <w:highlight w:val="none"/>
        </w:rPr>
      </w:pPr>
    </w:p>
    <w:p w14:paraId="37F36E2B">
      <w:pPr>
        <w:spacing w:line="560" w:lineRule="exact"/>
        <w:rPr>
          <w:rFonts w:hint="eastAsia" w:ascii="仿宋" w:hAnsi="仿宋" w:eastAsia="仿宋" w:cs="仿宋"/>
          <w:sz w:val="24"/>
          <w:szCs w:val="24"/>
          <w:highlight w:val="none"/>
        </w:rPr>
      </w:pPr>
    </w:p>
    <w:p w14:paraId="10D62BA9">
      <w:pPr>
        <w:spacing w:line="560" w:lineRule="exact"/>
        <w:rPr>
          <w:rFonts w:hint="eastAsia" w:ascii="仿宋" w:hAnsi="仿宋" w:eastAsia="仿宋" w:cs="仿宋"/>
          <w:sz w:val="24"/>
          <w:szCs w:val="24"/>
          <w:highlight w:val="none"/>
        </w:rPr>
      </w:pPr>
    </w:p>
    <w:p w14:paraId="0355A32D">
      <w:pPr>
        <w:spacing w:line="56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w:t>
      </w:r>
    </w:p>
    <w:p w14:paraId="0761B258">
      <w:pPr>
        <w:spacing w:line="56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法定代表人或其委托代理人：</w:t>
      </w:r>
    </w:p>
    <w:p w14:paraId="4A0387E6">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19A35412">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53F199DA">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一、遴选响应函</w:t>
      </w:r>
    </w:p>
    <w:p w14:paraId="76A82AD1">
      <w:pPr>
        <w:spacing w:before="156" w:beforeLines="50" w:line="560" w:lineRule="exact"/>
        <w:jc w:val="lef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丰县中小学食堂</w:t>
      </w:r>
      <w:r>
        <w:rPr>
          <w:rFonts w:hint="eastAsia" w:ascii="仿宋" w:hAnsi="仿宋" w:eastAsia="仿宋" w:cs="仿宋"/>
          <w:sz w:val="24"/>
          <w:szCs w:val="24"/>
          <w:highlight w:val="none"/>
          <w:u w:val="single"/>
        </w:rPr>
        <w:t>招标工作组：</w:t>
      </w:r>
    </w:p>
    <w:p w14:paraId="2C7F7F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u w:val="single"/>
        </w:rPr>
        <w:t>参与遴选单位全称</w:t>
      </w:r>
      <w:r>
        <w:rPr>
          <w:rFonts w:hint="eastAsia" w:ascii="仿宋" w:hAnsi="仿宋" w:eastAsia="仿宋" w:cs="仿宋"/>
          <w:sz w:val="24"/>
          <w:szCs w:val="24"/>
          <w:highlight w:val="none"/>
        </w:rPr>
        <w:t>授权</w:t>
      </w:r>
      <w:r>
        <w:rPr>
          <w:rFonts w:hint="eastAsia" w:ascii="仿宋" w:hAnsi="仿宋" w:eastAsia="仿宋" w:cs="仿宋"/>
          <w:sz w:val="24"/>
          <w:szCs w:val="24"/>
          <w:highlight w:val="none"/>
          <w:u w:val="single"/>
        </w:rPr>
        <w:t>参与遴选单位代表姓名(职务、职称)</w:t>
      </w:r>
      <w:r>
        <w:rPr>
          <w:rFonts w:hint="eastAsia" w:ascii="仿宋" w:hAnsi="仿宋" w:eastAsia="仿宋" w:cs="仿宋"/>
          <w:sz w:val="24"/>
          <w:szCs w:val="24"/>
          <w:highlight w:val="none"/>
        </w:rPr>
        <w:t>为我方代表，参加贵方组织的</w:t>
      </w:r>
      <w:r>
        <w:rPr>
          <w:rFonts w:hint="eastAsia" w:ascii="仿宋" w:hAnsi="仿宋" w:eastAsia="仿宋" w:cs="仿宋"/>
          <w:sz w:val="24"/>
          <w:szCs w:val="24"/>
          <w:highlight w:val="none"/>
          <w:u w:val="single"/>
          <w:lang w:val="en-US" w:eastAsia="zh-CN"/>
        </w:rPr>
        <w:t>2026年</w:t>
      </w:r>
      <w:r>
        <w:rPr>
          <w:rFonts w:hint="eastAsia" w:ascii="仿宋" w:hAnsi="仿宋" w:eastAsia="仿宋" w:cs="仿宋"/>
          <w:sz w:val="24"/>
          <w:szCs w:val="24"/>
          <w:highlight w:val="none"/>
          <w:u w:val="single"/>
        </w:rPr>
        <w:t>丰县中小学食堂招标工作组遴选招标代理机构项目遴选</w:t>
      </w:r>
      <w:r>
        <w:rPr>
          <w:rFonts w:hint="eastAsia" w:ascii="仿宋" w:hAnsi="仿宋" w:eastAsia="仿宋" w:cs="仿宋"/>
          <w:sz w:val="24"/>
          <w:szCs w:val="24"/>
          <w:highlight w:val="none"/>
        </w:rPr>
        <w:t>的有关活动，我方自愿参加</w:t>
      </w:r>
      <w:r>
        <w:rPr>
          <w:rFonts w:hint="eastAsia" w:ascii="仿宋" w:hAnsi="仿宋" w:eastAsia="仿宋" w:cs="仿宋"/>
          <w:sz w:val="24"/>
          <w:szCs w:val="24"/>
          <w:highlight w:val="none"/>
          <w:lang w:eastAsia="zh-CN"/>
        </w:rPr>
        <w:t>。</w:t>
      </w:r>
    </w:p>
    <w:p w14:paraId="325D4A9A">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为此：</w:t>
      </w:r>
    </w:p>
    <w:p w14:paraId="4003B2F0">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我方完全接受遴选文件要求的内容，并将履行遴选文件对中标人的要求和应承担的责任及义务。</w:t>
      </w:r>
    </w:p>
    <w:p w14:paraId="68F4757B">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我方已详细地阅读了遴选文件的全部内容，包括澄清及参考文件（如果有的话），我方完全理解并同意放弃对这方面有不明及误解的权利。</w:t>
      </w:r>
    </w:p>
    <w:p w14:paraId="054BD6CA">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我方愿意按照遴选文件中的一切要求，提供遴选文件所要求的服务。</w:t>
      </w:r>
    </w:p>
    <w:p w14:paraId="497BB476">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我方按要求提交的响应文件为：壹份正本，</w:t>
      </w:r>
      <w:r>
        <w:rPr>
          <w:rFonts w:hint="eastAsia" w:ascii="仿宋" w:hAnsi="仿宋" w:eastAsia="仿宋" w:cs="仿宋"/>
          <w:kern w:val="0"/>
          <w:sz w:val="24"/>
          <w:szCs w:val="24"/>
          <w:highlight w:val="red"/>
          <w:lang w:val="en-US" w:eastAsia="zh-CN"/>
        </w:rPr>
        <w:t>肆</w:t>
      </w:r>
      <w:r>
        <w:rPr>
          <w:rFonts w:hint="eastAsia" w:ascii="仿宋" w:hAnsi="仿宋" w:eastAsia="仿宋" w:cs="仿宋"/>
          <w:kern w:val="0"/>
          <w:sz w:val="24"/>
          <w:szCs w:val="24"/>
          <w:highlight w:val="none"/>
        </w:rPr>
        <w:t>份副本。</w:t>
      </w:r>
      <w:bookmarkStart w:id="15" w:name="_GoBack"/>
      <w:bookmarkEnd w:id="15"/>
    </w:p>
    <w:p w14:paraId="29C6EBBC">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我方同意提供采购人可能要求的与其招标有关的一切数据或资料，完全理解不一定要接受最低价格的遴选结果或收到的任何遴选结果。</w:t>
      </w:r>
    </w:p>
    <w:p w14:paraId="4F4E4F1B">
      <w:pPr>
        <w:widowControl/>
        <w:snapToGrid w:val="0"/>
        <w:spacing w:line="560" w:lineRule="exact"/>
        <w:ind w:right="-19" w:firstLine="480" w:firstLineChars="20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kern w:val="0"/>
          <w:sz w:val="24"/>
          <w:szCs w:val="24"/>
          <w:highlight w:val="none"/>
          <w:lang w:val="en-US" w:eastAsia="zh-CN"/>
        </w:rPr>
        <w:t>.</w:t>
      </w:r>
      <w:r>
        <w:rPr>
          <w:rFonts w:hint="eastAsia" w:ascii="仿宋" w:hAnsi="仿宋" w:eastAsia="仿宋" w:cs="仿宋"/>
          <w:kern w:val="0"/>
          <w:sz w:val="24"/>
          <w:szCs w:val="24"/>
          <w:highlight w:val="none"/>
        </w:rPr>
        <w:t>如我方中标,我方将根据规定，严格履</w:t>
      </w:r>
      <w:r>
        <w:rPr>
          <w:rFonts w:hint="eastAsia" w:ascii="仿宋" w:hAnsi="仿宋" w:eastAsia="仿宋" w:cs="仿宋"/>
          <w:color w:val="auto"/>
          <w:kern w:val="0"/>
          <w:sz w:val="24"/>
          <w:szCs w:val="24"/>
          <w:highlight w:val="none"/>
        </w:rPr>
        <w:t>行</w:t>
      </w:r>
      <w:r>
        <w:rPr>
          <w:rFonts w:hint="eastAsia" w:ascii="仿宋" w:hAnsi="仿宋" w:eastAsia="仿宋" w:cs="仿宋"/>
          <w:color w:val="auto"/>
          <w:kern w:val="0"/>
          <w:sz w:val="24"/>
          <w:szCs w:val="24"/>
          <w:highlight w:val="none"/>
          <w:lang w:val="en-US" w:eastAsia="zh-CN"/>
        </w:rPr>
        <w:t>相应</w:t>
      </w:r>
      <w:r>
        <w:rPr>
          <w:rFonts w:hint="eastAsia" w:ascii="仿宋" w:hAnsi="仿宋" w:eastAsia="仿宋" w:cs="仿宋"/>
          <w:color w:val="auto"/>
          <w:kern w:val="0"/>
          <w:sz w:val="24"/>
          <w:szCs w:val="24"/>
          <w:highlight w:val="none"/>
        </w:rPr>
        <w:t>的责任</w:t>
      </w:r>
      <w:r>
        <w:rPr>
          <w:rFonts w:hint="eastAsia" w:ascii="仿宋" w:hAnsi="仿宋" w:eastAsia="仿宋" w:cs="仿宋"/>
          <w:kern w:val="0"/>
          <w:sz w:val="24"/>
          <w:szCs w:val="24"/>
          <w:highlight w:val="none"/>
        </w:rPr>
        <w:t>和义务,并保证在规定的时间内完成相关项目，交付采购人使用、验收。</w:t>
      </w:r>
    </w:p>
    <w:p w14:paraId="0A3DA769">
      <w:pPr>
        <w:spacing w:line="560" w:lineRule="exact"/>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我方将严格遵守政府采购及招遴选有关规定。</w:t>
      </w:r>
    </w:p>
    <w:p w14:paraId="14B13187">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参与遴选单位地址：</w:t>
      </w:r>
    </w:p>
    <w:p w14:paraId="7A4C307F">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邮政编码：</w:t>
      </w:r>
    </w:p>
    <w:p w14:paraId="4C83EF81">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电话：</w:t>
      </w:r>
    </w:p>
    <w:p w14:paraId="57ED71AB">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传真：</w:t>
      </w:r>
    </w:p>
    <w:p w14:paraId="4B2E9EF0">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供应商：（全称）（盖章）</w:t>
      </w:r>
    </w:p>
    <w:p w14:paraId="569433A7">
      <w:pPr>
        <w:widowControl/>
        <w:snapToGrid w:val="0"/>
        <w:spacing w:line="560" w:lineRule="exact"/>
        <w:ind w:right="-19" w:firstLine="420"/>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法定代表人或参与遴选单位代表：（姓名、职务）（签字或盖章）</w:t>
      </w:r>
    </w:p>
    <w:p w14:paraId="0E8E7F0A">
      <w:pPr>
        <w:widowControl/>
        <w:snapToGrid w:val="0"/>
        <w:spacing w:line="560" w:lineRule="exact"/>
        <w:ind w:right="-19" w:firstLine="29"/>
        <w:jc w:val="right"/>
        <w:rPr>
          <w:rFonts w:hint="eastAsia" w:ascii="仿宋" w:hAnsi="仿宋" w:eastAsia="仿宋" w:cs="仿宋"/>
          <w:kern w:val="0"/>
          <w:sz w:val="24"/>
          <w:szCs w:val="24"/>
          <w:highlight w:val="none"/>
        </w:rPr>
      </w:pPr>
    </w:p>
    <w:p w14:paraId="0BAC4F4B">
      <w:pPr>
        <w:widowControl/>
        <w:snapToGrid w:val="0"/>
        <w:spacing w:line="560" w:lineRule="exact"/>
        <w:ind w:right="-19" w:firstLine="29"/>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日期：</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lang w:val="en-US" w:eastAsia="zh-CN"/>
        </w:rPr>
        <w:t xml:space="preserve">    </w:t>
      </w:r>
      <w:r>
        <w:rPr>
          <w:rFonts w:hint="eastAsia" w:ascii="仿宋" w:hAnsi="仿宋" w:eastAsia="仿宋" w:cs="仿宋"/>
          <w:kern w:val="0"/>
          <w:sz w:val="24"/>
          <w:szCs w:val="24"/>
          <w:highlight w:val="none"/>
        </w:rPr>
        <w:t>日</w:t>
      </w:r>
    </w:p>
    <w:p w14:paraId="3D741B86">
      <w:pPr>
        <w:rPr>
          <w:rFonts w:hint="eastAsia" w:ascii="仿宋" w:hAnsi="仿宋" w:eastAsia="仿宋" w:cs="仿宋"/>
          <w:sz w:val="24"/>
          <w:szCs w:val="24"/>
          <w:highlight w:val="none"/>
        </w:rPr>
      </w:pPr>
    </w:p>
    <w:p w14:paraId="539330CF">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二、法定代表人授权委托书</w:t>
      </w:r>
    </w:p>
    <w:p w14:paraId="50C447D8">
      <w:pPr>
        <w:pStyle w:val="66"/>
        <w:spacing w:before="0" w:after="0" w:line="56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丰县中小学食堂</w:t>
      </w:r>
      <w:r>
        <w:rPr>
          <w:rFonts w:hint="eastAsia" w:ascii="仿宋" w:hAnsi="仿宋" w:eastAsia="仿宋" w:cs="仿宋"/>
          <w:sz w:val="24"/>
          <w:szCs w:val="24"/>
          <w:highlight w:val="none"/>
        </w:rPr>
        <w:t>招标工作组：</w:t>
      </w:r>
    </w:p>
    <w:p w14:paraId="150510B9">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（参与遴选单位住址）</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（参与遴选单位名称）</w:t>
      </w: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u w:val="single"/>
        </w:rPr>
        <w:t>（法定代表人姓名、职务）</w:t>
      </w:r>
      <w:r>
        <w:rPr>
          <w:rFonts w:hint="eastAsia" w:ascii="仿宋" w:hAnsi="仿宋" w:eastAsia="仿宋" w:cs="仿宋"/>
          <w:sz w:val="24"/>
          <w:szCs w:val="24"/>
          <w:highlight w:val="none"/>
        </w:rPr>
        <w:t>代表本公司授权在下面签字的</w:t>
      </w:r>
      <w:r>
        <w:rPr>
          <w:rFonts w:hint="eastAsia" w:ascii="仿宋" w:hAnsi="仿宋" w:eastAsia="仿宋" w:cs="仿宋"/>
          <w:sz w:val="24"/>
          <w:szCs w:val="24"/>
          <w:highlight w:val="none"/>
          <w:u w:val="single"/>
        </w:rPr>
        <w:t>（参与遴选单位代表姓名、职务）</w:t>
      </w:r>
      <w:r>
        <w:rPr>
          <w:rFonts w:hint="eastAsia" w:ascii="仿宋" w:hAnsi="仿宋" w:eastAsia="仿宋" w:cs="仿宋"/>
          <w:sz w:val="24"/>
          <w:szCs w:val="24"/>
          <w:highlight w:val="none"/>
        </w:rPr>
        <w:t>为本公司的合法代理人。就贵方组织的项目（项目名称：</w:t>
      </w:r>
      <w:r>
        <w:rPr>
          <w:rFonts w:hint="eastAsia" w:ascii="仿宋" w:hAnsi="仿宋" w:eastAsia="仿宋" w:cs="仿宋"/>
          <w:sz w:val="24"/>
          <w:szCs w:val="24"/>
          <w:highlight w:val="none"/>
          <w:lang w:val="en-US" w:eastAsia="zh-CN"/>
        </w:rPr>
        <w:t>2026年</w:t>
      </w:r>
      <w:r>
        <w:rPr>
          <w:rFonts w:hint="eastAsia" w:ascii="仿宋" w:hAnsi="仿宋" w:eastAsia="仿宋" w:cs="仿宋"/>
          <w:sz w:val="24"/>
          <w:szCs w:val="24"/>
          <w:highlight w:val="none"/>
        </w:rPr>
        <w:t>丰县中小学食堂招标工作组遴选招标代理机构项目），该代理人可以本公司名义处理一切与之有关的事务。</w:t>
      </w:r>
    </w:p>
    <w:p w14:paraId="7E5F4838">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lang w:val="en-US" w:eastAsia="zh-CN"/>
        </w:rPr>
        <w:t>XXXX</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XX</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XX</w:t>
      </w:r>
      <w:r>
        <w:rPr>
          <w:rFonts w:hint="eastAsia" w:ascii="仿宋" w:hAnsi="仿宋" w:eastAsia="仿宋" w:cs="仿宋"/>
          <w:sz w:val="24"/>
          <w:szCs w:val="24"/>
          <w:highlight w:val="none"/>
        </w:rPr>
        <w:t>日签字生效，特此声明。</w:t>
      </w:r>
    </w:p>
    <w:p w14:paraId="28628355">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66551870">
      <w:pPr>
        <w:pStyle w:val="19"/>
        <w:spacing w:before="0" w:beforeAutospacing="0" w:after="0" w:afterAutospacing="0" w:line="560" w:lineRule="exact"/>
        <w:ind w:firstLine="48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参与遴选单位代表签字或盖章：</w:t>
      </w:r>
    </w:p>
    <w:p w14:paraId="6997623E">
      <w:pPr>
        <w:pStyle w:val="19"/>
        <w:spacing w:before="0" w:beforeAutospacing="0" w:after="0" w:afterAutospacing="0" w:line="560" w:lineRule="exact"/>
        <w:ind w:firstLine="480"/>
        <w:jc w:val="both"/>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参与遴选单位全称（加盖公章）：</w:t>
      </w:r>
    </w:p>
    <w:p w14:paraId="6FA0D164">
      <w:pPr>
        <w:pStyle w:val="19"/>
        <w:spacing w:before="0" w:beforeAutospacing="0" w:after="0" w:afterAutospacing="0" w:line="560" w:lineRule="exact"/>
        <w:ind w:firstLine="58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078DE69D">
      <w:pPr>
        <w:pStyle w:val="19"/>
        <w:spacing w:before="0" w:beforeAutospacing="0" w:after="0" w:afterAutospacing="0" w:line="560" w:lineRule="exact"/>
        <w:ind w:firstLine="48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附：</w:t>
      </w:r>
    </w:p>
    <w:p w14:paraId="69D4BD1F">
      <w:pPr>
        <w:widowControl/>
        <w:snapToGrid w:val="0"/>
        <w:spacing w:before="312" w:line="560" w:lineRule="exact"/>
        <w:jc w:val="center"/>
        <w:rPr>
          <w:rFonts w:hint="eastAsia" w:ascii="仿宋" w:hAnsi="仿宋" w:eastAsia="仿宋" w:cs="仿宋"/>
          <w:b/>
          <w:kern w:val="0"/>
          <w:sz w:val="24"/>
          <w:szCs w:val="24"/>
          <w:highlight w:val="none"/>
        </w:rPr>
      </w:pPr>
      <w:r>
        <w:rPr>
          <w:rFonts w:hint="eastAsia" w:ascii="仿宋" w:hAnsi="仿宋" w:eastAsia="仿宋" w:cs="仿宋"/>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2982595</wp:posOffset>
                </wp:positionH>
                <wp:positionV relativeFrom="paragraph">
                  <wp:posOffset>93345</wp:posOffset>
                </wp:positionV>
                <wp:extent cx="3081655" cy="1943735"/>
                <wp:effectExtent l="4445" t="5080" r="19050" b="1333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1483E9BB">
                            <w:r>
                              <w:rPr>
                                <w:rFonts w:hint="eastAsia" w:cs="宋体"/>
                                <w:color w:val="000000"/>
                              </w:rPr>
                              <w:t>法定代表人</w:t>
                            </w:r>
                            <w:r>
                              <w:rPr>
                                <w:rFonts w:hint="eastAsia" w:cs="宋体"/>
                              </w:rPr>
                              <w:t>身份证复印件（反面）</w:t>
                            </w:r>
                          </w:p>
                          <w:p w14:paraId="400D6DE1"/>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34.85pt;margin-top:7.35pt;height:153.05pt;width:242.65pt;z-index:251661312;mso-width-relative:page;mso-height-relative:page;" fillcolor="#FFFFFF" filled="t" stroked="t" coordsize="21600,21600" o:gfxdata="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ELth7rZAAAACgEAAA8AAAAAAAAAAQAgAAAAIgAA&#10;AGRycy9kb3ducmV2LnhtbFBLAQIUABQAAAAIAIdO4kAe5DGKQAIAAH4EAAAOAAAAAAAAAAEAIAAA&#10;ACgBAABkcnMvZTJvRG9jLnhtbFBLBQYAAAAABgAGAFkBAADaBQAAAAA=&#10;">
                <v:fill on="t" focussize="0,0"/>
                <v:stroke color="#000000" miterlimit="2" joinstyle="miter"/>
                <v:imagedata o:title=""/>
                <o:lock v:ext="edit" aspectratio="f"/>
                <v:textbox>
                  <w:txbxContent>
                    <w:p w14:paraId="1483E9BB">
                      <w:r>
                        <w:rPr>
                          <w:rFonts w:hint="eastAsia" w:cs="宋体"/>
                          <w:color w:val="000000"/>
                        </w:rPr>
                        <w:t>法定代表人</w:t>
                      </w:r>
                      <w:r>
                        <w:rPr>
                          <w:rFonts w:hint="eastAsia" w:cs="宋体"/>
                        </w:rPr>
                        <w:t>身份证复印件（反面）</w:t>
                      </w:r>
                    </w:p>
                    <w:p w14:paraId="400D6DE1"/>
                  </w:txbxContent>
                </v:textbox>
              </v:rect>
            </w:pict>
          </mc:Fallback>
        </mc:AlternateContent>
      </w:r>
      <w:r>
        <w:rPr>
          <w:rFonts w:hint="eastAsia" w:ascii="仿宋" w:hAnsi="仿宋" w:eastAsia="仿宋" w:cs="仿宋"/>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-201930</wp:posOffset>
                </wp:positionH>
                <wp:positionV relativeFrom="paragraph">
                  <wp:posOffset>97790</wp:posOffset>
                </wp:positionV>
                <wp:extent cx="3081655" cy="1943735"/>
                <wp:effectExtent l="4445" t="5080" r="19050" b="13335"/>
                <wp:wrapNone/>
                <wp:docPr id="3" name="文本框 2"/>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11BE1E7E">
                            <w:r>
                              <w:rPr>
                                <w:rFonts w:hint="eastAsia" w:cs="宋体"/>
                                <w:color w:val="000000"/>
                              </w:rPr>
                              <w:t>法定代表人</w:t>
                            </w:r>
                            <w:r>
                              <w:rPr>
                                <w:rFonts w:hint="eastAsia" w:cs="宋体"/>
                              </w:rPr>
                              <w:t>身份证复印件（正面）</w:t>
                            </w:r>
                          </w:p>
                          <w:p w14:paraId="45A478C7"/>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15.9pt;margin-top:7.7pt;height:153.05pt;width:242.65pt;z-index:251659264;mso-width-relative:page;mso-height-relative:page;" fillcolor="#FFFFFF" filled="t" stroked="t" coordsize="21600,21600" o:gfxdata="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BpcRLZAAAACgEAAA8AAAAAAAAAAQAgAAAAIgAA&#10;AGRycy9kb3ducmV2LnhtbFBLAQIUABQAAAAIAIdO4kCY2l33QAIAAH4EAAAOAAAAAAAAAAEAIAAA&#10;ACgBAABkcnMvZTJvRG9jLnhtbFBLBQYAAAAABgAGAFkBAADaBQAAAAA=&#10;">
                <v:fill on="t" focussize="0,0"/>
                <v:stroke color="#000000" miterlimit="2" joinstyle="miter"/>
                <v:imagedata o:title=""/>
                <o:lock v:ext="edit" aspectratio="f"/>
                <v:textbox>
                  <w:txbxContent>
                    <w:p w14:paraId="11BE1E7E">
                      <w:r>
                        <w:rPr>
                          <w:rFonts w:hint="eastAsia" w:cs="宋体"/>
                          <w:color w:val="000000"/>
                        </w:rPr>
                        <w:t>法定代表人</w:t>
                      </w:r>
                      <w:r>
                        <w:rPr>
                          <w:rFonts w:hint="eastAsia" w:cs="宋体"/>
                        </w:rPr>
                        <w:t>身份证复印件（正面）</w:t>
                      </w:r>
                    </w:p>
                    <w:p w14:paraId="45A478C7"/>
                  </w:txbxContent>
                </v:textbox>
              </v:rect>
            </w:pict>
          </mc:Fallback>
        </mc:AlternateContent>
      </w:r>
    </w:p>
    <w:p w14:paraId="21682EEC">
      <w:pPr>
        <w:widowControl/>
        <w:snapToGrid w:val="0"/>
        <w:spacing w:before="312" w:line="560" w:lineRule="exact"/>
        <w:jc w:val="center"/>
        <w:rPr>
          <w:rFonts w:hint="eastAsia" w:ascii="仿宋" w:hAnsi="仿宋" w:eastAsia="仿宋" w:cs="仿宋"/>
          <w:b/>
          <w:kern w:val="0"/>
          <w:sz w:val="24"/>
          <w:szCs w:val="24"/>
          <w:highlight w:val="none"/>
        </w:rPr>
      </w:pPr>
    </w:p>
    <w:p w14:paraId="34DCD359">
      <w:pPr>
        <w:spacing w:line="560" w:lineRule="exact"/>
        <w:jc w:val="center"/>
        <w:rPr>
          <w:rFonts w:hint="eastAsia" w:ascii="仿宋" w:hAnsi="仿宋" w:eastAsia="仿宋" w:cs="仿宋"/>
          <w:b/>
          <w:sz w:val="24"/>
          <w:szCs w:val="24"/>
          <w:highlight w:val="none"/>
        </w:rPr>
      </w:pPr>
    </w:p>
    <w:p w14:paraId="16A4DF57">
      <w:pPr>
        <w:spacing w:line="560" w:lineRule="exact"/>
        <w:jc w:val="center"/>
        <w:rPr>
          <w:rFonts w:hint="eastAsia" w:ascii="仿宋" w:hAnsi="仿宋" w:eastAsia="仿宋" w:cs="仿宋"/>
          <w:b/>
          <w:sz w:val="24"/>
          <w:szCs w:val="24"/>
          <w:highlight w:val="none"/>
        </w:rPr>
      </w:pPr>
    </w:p>
    <w:p w14:paraId="4E18D68F">
      <w:pPr>
        <w:spacing w:line="560" w:lineRule="exact"/>
        <w:jc w:val="center"/>
        <w:rPr>
          <w:rFonts w:hint="eastAsia" w:ascii="仿宋" w:hAnsi="仿宋" w:eastAsia="仿宋" w:cs="仿宋"/>
          <w:b/>
          <w:sz w:val="24"/>
          <w:szCs w:val="24"/>
          <w:highlight w:val="none"/>
        </w:rPr>
      </w:pPr>
      <w:r>
        <w:rPr>
          <w:rFonts w:hint="eastAsia" w:ascii="仿宋" w:hAnsi="仿宋" w:eastAsia="仿宋" w:cs="仿宋"/>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-194945</wp:posOffset>
                </wp:positionH>
                <wp:positionV relativeFrom="paragraph">
                  <wp:posOffset>354330</wp:posOffset>
                </wp:positionV>
                <wp:extent cx="3081655" cy="1943735"/>
                <wp:effectExtent l="4445" t="5080" r="19050" b="1333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70A3EBBB">
                            <w:r>
                              <w:rPr>
                                <w:rFonts w:hint="eastAsia" w:cs="宋体"/>
                                <w:color w:val="000000"/>
                              </w:rPr>
                              <w:t>参与遴选单位代表</w:t>
                            </w:r>
                            <w:r>
                              <w:rPr>
                                <w:rFonts w:hint="eastAsia" w:cs="宋体"/>
                              </w:rPr>
                              <w:t>身份证复印件（正面）</w:t>
                            </w:r>
                          </w:p>
                          <w:p w14:paraId="5B974D28"/>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15.35pt;margin-top:27.9pt;height:153.05pt;width:242.65pt;z-index:251660288;mso-width-relative:page;mso-height-relative:page;" fillcolor="#FFFFFF" filled="t" stroked="t" coordsize="21600,21600" o:gfxdata="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L92/NoAAAAKAQAADwAAAAAAAAABACAAAAAiAAAA&#10;ZHJzL2Rvd25yZXYueG1sUEsBAhQAFAAAAAgAh07iQA7e5/E+AgAAfgQAAA4AAAAAAAAAAQAgAAAA&#10;KQEAAGRycy9lMm9Eb2MueG1sUEsFBgAAAAAGAAYAWQEAANkFAAAAAA==&#10;">
                <v:fill on="t" focussize="0,0"/>
                <v:stroke color="#000000" miterlimit="2" joinstyle="miter"/>
                <v:imagedata o:title=""/>
                <o:lock v:ext="edit" aspectratio="f"/>
                <v:textbox>
                  <w:txbxContent>
                    <w:p w14:paraId="70A3EBBB">
                      <w:r>
                        <w:rPr>
                          <w:rFonts w:hint="eastAsia" w:cs="宋体"/>
                          <w:color w:val="000000"/>
                        </w:rPr>
                        <w:t>参与遴选单位代表</w:t>
                      </w:r>
                      <w:r>
                        <w:rPr>
                          <w:rFonts w:hint="eastAsia" w:cs="宋体"/>
                        </w:rPr>
                        <w:t>身份证复印件（正面）</w:t>
                      </w:r>
                    </w:p>
                    <w:p w14:paraId="5B974D28"/>
                  </w:txbxContent>
                </v:textbox>
              </v:rect>
            </w:pict>
          </mc:Fallback>
        </mc:AlternateContent>
      </w:r>
    </w:p>
    <w:p w14:paraId="29EC1081">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2986405</wp:posOffset>
                </wp:positionH>
                <wp:positionV relativeFrom="paragraph">
                  <wp:posOffset>1905</wp:posOffset>
                </wp:positionV>
                <wp:extent cx="3081655" cy="1943735"/>
                <wp:effectExtent l="4445" t="5080" r="19050" b="13335"/>
                <wp:wrapNone/>
                <wp:docPr id="4" name="文本框 3"/>
                <wp:cNvGraphicFramePr/>
                <a:graphic xmlns:a="http://schemas.openxmlformats.org/drawingml/2006/main">
                  <a:graphicData uri="http://schemas.microsoft.com/office/word/2010/wordprocessingShape">
                    <wps:wsp>
                      <wps:cNvSpPr>
                        <a:spLocks noChangeArrowheads="1"/>
                      </wps:cNvSpPr>
                      <wps:spPr bwMode="auto">
                        <a:xfrm>
                          <a:off x="0" y="0"/>
                          <a:ext cx="3081655" cy="1943735"/>
                        </a:xfrm>
                        <a:prstGeom prst="rect">
                          <a:avLst/>
                        </a:prstGeom>
                        <a:solidFill>
                          <a:srgbClr val="FFFFFF"/>
                        </a:solidFill>
                        <a:ln w="9525">
                          <a:solidFill>
                            <a:srgbClr val="000000"/>
                          </a:solidFill>
                          <a:miter lim="200000"/>
                        </a:ln>
                      </wps:spPr>
                      <wps:txbx>
                        <w:txbxContent>
                          <w:p w14:paraId="6AD23E3B">
                            <w:r>
                              <w:rPr>
                                <w:rFonts w:hint="eastAsia" w:cs="宋体"/>
                                <w:color w:val="000000"/>
                              </w:rPr>
                              <w:t>参与遴选单位代表</w:t>
                            </w:r>
                            <w:r>
                              <w:rPr>
                                <w:rFonts w:hint="eastAsia" w:cs="宋体"/>
                              </w:rPr>
                              <w:t>身份证复印件（反面）</w:t>
                            </w:r>
                          </w:p>
                          <w:p w14:paraId="15DDA8D4"/>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235.15pt;margin-top:0.15pt;height:153.05pt;width:242.65pt;z-index:251662336;mso-width-relative:page;mso-height-relative:page;" fillcolor="#FFFFFF" filled="t" stroked="t" coordsize="21600,21600" o:gfxdata="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fRolD1wAAAAgBAAAPAAAAAAAAAAEAIAAAACIAAABk&#10;cnMvZG93bnJldi54bWxQSwECFAAUAAAACACHTuJAhJ1TdkACAAB+BAAADgAAAAAAAAABACAAAAAm&#10;AQAAZHJzL2Uyb0RvYy54bWxQSwUGAAAAAAYABgBZAQAA2AUAAAAA&#10;">
                <v:fill on="t" focussize="0,0"/>
                <v:stroke color="#000000" miterlimit="2" joinstyle="miter"/>
                <v:imagedata o:title=""/>
                <o:lock v:ext="edit" aspectratio="f"/>
                <v:textbox>
                  <w:txbxContent>
                    <w:p w14:paraId="6AD23E3B">
                      <w:r>
                        <w:rPr>
                          <w:rFonts w:hint="eastAsia" w:cs="宋体"/>
                          <w:color w:val="000000"/>
                        </w:rPr>
                        <w:t>参与遴选单位代表</w:t>
                      </w:r>
                      <w:r>
                        <w:rPr>
                          <w:rFonts w:hint="eastAsia" w:cs="宋体"/>
                        </w:rPr>
                        <w:t>身份证复印件（反面）</w:t>
                      </w:r>
                    </w:p>
                    <w:p w14:paraId="15DDA8D4"/>
                  </w:txbxContent>
                </v:textbox>
              </v:rect>
            </w:pict>
          </mc:Fallback>
        </mc:AlternateContent>
      </w:r>
    </w:p>
    <w:p w14:paraId="6041F58F">
      <w:pPr>
        <w:pStyle w:val="37"/>
        <w:spacing w:line="560" w:lineRule="exact"/>
        <w:rPr>
          <w:rFonts w:hint="eastAsia" w:ascii="仿宋" w:hAnsi="仿宋" w:eastAsia="仿宋" w:cs="仿宋"/>
          <w:sz w:val="24"/>
          <w:szCs w:val="24"/>
          <w:highlight w:val="none"/>
          <w:lang w:eastAsia="zh-CN"/>
        </w:rPr>
      </w:pPr>
    </w:p>
    <w:p w14:paraId="5D7660D7">
      <w:pPr>
        <w:pStyle w:val="37"/>
        <w:spacing w:line="560" w:lineRule="exact"/>
        <w:rPr>
          <w:rFonts w:hint="eastAsia" w:ascii="仿宋" w:hAnsi="仿宋" w:eastAsia="仿宋" w:cs="仿宋"/>
          <w:sz w:val="24"/>
          <w:szCs w:val="24"/>
          <w:highlight w:val="none"/>
          <w:lang w:eastAsia="zh-CN"/>
        </w:rPr>
      </w:pPr>
    </w:p>
    <w:p w14:paraId="69910F82">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216DF58B">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三、资格证明文件</w:t>
      </w:r>
    </w:p>
    <w:p w14:paraId="12719C62">
      <w:pPr>
        <w:keepNext w:val="0"/>
        <w:keepLines w:val="0"/>
        <w:pageBreakBefore w:val="0"/>
        <w:widowControl/>
        <w:kinsoku/>
        <w:wordWrap/>
        <w:overflowPunct/>
        <w:topLinePunct w:val="0"/>
        <w:autoSpaceDE/>
        <w:autoSpaceDN/>
        <w:bidi w:val="0"/>
        <w:adjustRightInd/>
        <w:snapToGrid/>
        <w:spacing w:before="150" w:after="156" w:line="560" w:lineRule="exact"/>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对照遴选文件参与遴选单位资质内容提供实质性响应的证明材料</w:t>
      </w:r>
    </w:p>
    <w:p w14:paraId="7BBF5CC1">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431D0F0F">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四、参与遴选单位业绩一览表</w:t>
      </w:r>
    </w:p>
    <w:p w14:paraId="4CD794FB">
      <w:pPr>
        <w:spacing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丰县中小学食堂</w:t>
      </w:r>
      <w:r>
        <w:rPr>
          <w:rFonts w:hint="eastAsia" w:ascii="仿宋" w:hAnsi="仿宋" w:eastAsia="仿宋" w:cs="仿宋"/>
          <w:sz w:val="24"/>
          <w:szCs w:val="24"/>
          <w:highlight w:val="none"/>
          <w:u w:val="single"/>
        </w:rPr>
        <w:t>招标工作组：</w:t>
      </w:r>
    </w:p>
    <w:p w14:paraId="057B358F">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根据已获取的</w:t>
      </w:r>
      <w:r>
        <w:rPr>
          <w:rFonts w:hint="eastAsia" w:ascii="仿宋" w:hAnsi="仿宋" w:eastAsia="仿宋" w:cs="仿宋"/>
          <w:sz w:val="24"/>
          <w:szCs w:val="24"/>
          <w:highlight w:val="none"/>
          <w:u w:val="single"/>
          <w:lang w:val="en-US" w:eastAsia="zh-CN"/>
        </w:rPr>
        <w:t>2026年</w:t>
      </w:r>
      <w:r>
        <w:rPr>
          <w:rFonts w:hint="eastAsia" w:ascii="仿宋" w:hAnsi="仿宋" w:eastAsia="仿宋" w:cs="仿宋"/>
          <w:sz w:val="24"/>
          <w:szCs w:val="24"/>
          <w:highlight w:val="none"/>
          <w:u w:val="single"/>
        </w:rPr>
        <w:t>丰县中小学食堂招标工作组遴选招标代理机构项目</w:t>
      </w:r>
      <w:r>
        <w:rPr>
          <w:rFonts w:hint="eastAsia" w:ascii="仿宋" w:hAnsi="仿宋" w:eastAsia="仿宋" w:cs="仿宋"/>
          <w:sz w:val="24"/>
          <w:szCs w:val="24"/>
          <w:highlight w:val="none"/>
        </w:rPr>
        <w:t>遴选文件中的要求，现将符合遴选文件要求的项目业绩汇总如下。本表中内容如有不实，我单位愿承担一切法律责任。</w:t>
      </w:r>
    </w:p>
    <w:tbl>
      <w:tblPr>
        <w:tblStyle w:val="22"/>
        <w:tblpPr w:leftFromText="180" w:rightFromText="180" w:vertAnchor="text" w:horzAnchor="page" w:tblpX="1521" w:tblpY="774"/>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543"/>
        <w:gridCol w:w="2185"/>
        <w:gridCol w:w="1827"/>
        <w:gridCol w:w="2142"/>
      </w:tblGrid>
      <w:tr w14:paraId="2E03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803" w:type="dxa"/>
            <w:tcBorders>
              <w:top w:val="single" w:color="auto" w:sz="4" w:space="0"/>
              <w:left w:val="single" w:color="auto" w:sz="4" w:space="0"/>
              <w:bottom w:val="single" w:color="auto" w:sz="4" w:space="0"/>
              <w:right w:val="single" w:color="auto" w:sz="4" w:space="0"/>
            </w:tcBorders>
            <w:vAlign w:val="center"/>
          </w:tcPr>
          <w:p w14:paraId="62C2504A">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1543" w:type="dxa"/>
            <w:tcBorders>
              <w:top w:val="single" w:color="auto" w:sz="4" w:space="0"/>
              <w:left w:val="single" w:color="auto" w:sz="4" w:space="0"/>
              <w:bottom w:val="single" w:color="auto" w:sz="4" w:space="0"/>
              <w:right w:val="single" w:color="auto" w:sz="4" w:space="0"/>
            </w:tcBorders>
            <w:vAlign w:val="center"/>
          </w:tcPr>
          <w:p w14:paraId="538F2091">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项目名称</w:t>
            </w:r>
          </w:p>
        </w:tc>
        <w:tc>
          <w:tcPr>
            <w:tcW w:w="2185" w:type="dxa"/>
            <w:tcBorders>
              <w:top w:val="single" w:color="auto" w:sz="4" w:space="0"/>
              <w:left w:val="single" w:color="auto" w:sz="4" w:space="0"/>
              <w:bottom w:val="single" w:color="auto" w:sz="4" w:space="0"/>
              <w:right w:val="single" w:color="auto" w:sz="4" w:space="0"/>
            </w:tcBorders>
            <w:vAlign w:val="center"/>
          </w:tcPr>
          <w:p w14:paraId="34E133E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委托单位</w:t>
            </w:r>
          </w:p>
        </w:tc>
        <w:tc>
          <w:tcPr>
            <w:tcW w:w="1827" w:type="dxa"/>
            <w:tcBorders>
              <w:top w:val="single" w:color="auto" w:sz="4" w:space="0"/>
              <w:left w:val="single" w:color="auto" w:sz="4" w:space="0"/>
              <w:bottom w:val="single" w:color="auto" w:sz="4" w:space="0"/>
              <w:right w:val="single" w:color="auto" w:sz="4" w:space="0"/>
            </w:tcBorders>
            <w:vAlign w:val="center"/>
          </w:tcPr>
          <w:p w14:paraId="3E917EA9">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合同签订日期</w:t>
            </w:r>
          </w:p>
        </w:tc>
        <w:tc>
          <w:tcPr>
            <w:tcW w:w="2142" w:type="dxa"/>
            <w:tcBorders>
              <w:top w:val="single" w:color="auto" w:sz="4" w:space="0"/>
              <w:left w:val="single" w:color="auto" w:sz="4" w:space="0"/>
              <w:bottom w:val="single" w:color="auto" w:sz="4" w:space="0"/>
              <w:right w:val="single" w:color="auto" w:sz="4" w:space="0"/>
            </w:tcBorders>
            <w:vAlign w:val="center"/>
          </w:tcPr>
          <w:p w14:paraId="6EB4ED63">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联系人</w:t>
            </w:r>
          </w:p>
        </w:tc>
      </w:tr>
      <w:tr w14:paraId="2110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65CA8F82">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26F06BF5">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706A67E6">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3D20D0DA">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2EF8FD0F">
            <w:pPr>
              <w:spacing w:line="560" w:lineRule="exact"/>
              <w:jc w:val="center"/>
              <w:rPr>
                <w:rFonts w:hint="eastAsia" w:ascii="仿宋" w:hAnsi="仿宋" w:eastAsia="仿宋" w:cs="仿宋"/>
                <w:sz w:val="24"/>
                <w:szCs w:val="24"/>
                <w:highlight w:val="none"/>
              </w:rPr>
            </w:pPr>
          </w:p>
        </w:tc>
      </w:tr>
      <w:tr w14:paraId="220A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22A058EE">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7C806BE3">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65B7E3F7">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AB16859">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62FD1491">
            <w:pPr>
              <w:spacing w:line="560" w:lineRule="exact"/>
              <w:jc w:val="center"/>
              <w:rPr>
                <w:rFonts w:hint="eastAsia" w:ascii="仿宋" w:hAnsi="仿宋" w:eastAsia="仿宋" w:cs="仿宋"/>
                <w:sz w:val="24"/>
                <w:szCs w:val="24"/>
                <w:highlight w:val="none"/>
              </w:rPr>
            </w:pPr>
          </w:p>
        </w:tc>
      </w:tr>
      <w:tr w14:paraId="4B7B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18BEA7FC">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653F314E">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44537778">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11B1348">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16BF7F16">
            <w:pPr>
              <w:spacing w:line="560" w:lineRule="exact"/>
              <w:jc w:val="center"/>
              <w:rPr>
                <w:rFonts w:hint="eastAsia" w:ascii="仿宋" w:hAnsi="仿宋" w:eastAsia="仿宋" w:cs="仿宋"/>
                <w:sz w:val="24"/>
                <w:szCs w:val="24"/>
                <w:highlight w:val="none"/>
              </w:rPr>
            </w:pPr>
          </w:p>
        </w:tc>
      </w:tr>
      <w:tr w14:paraId="0B51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4D5C2D79">
            <w:pPr>
              <w:spacing w:line="560" w:lineRule="exact"/>
              <w:jc w:val="center"/>
              <w:rPr>
                <w:rFonts w:hint="eastAsia" w:ascii="仿宋" w:hAnsi="仿宋" w:eastAsia="仿宋" w:cs="仿宋"/>
                <w:sz w:val="24"/>
                <w:szCs w:val="24"/>
                <w:highlight w:val="none"/>
                <w:lang w:val="en-US" w:eastAsia="zh-CN"/>
              </w:rPr>
            </w:pPr>
          </w:p>
        </w:tc>
        <w:tc>
          <w:tcPr>
            <w:tcW w:w="1543" w:type="dxa"/>
            <w:tcBorders>
              <w:top w:val="single" w:color="auto" w:sz="4" w:space="0"/>
              <w:left w:val="single" w:color="auto" w:sz="4" w:space="0"/>
              <w:bottom w:val="single" w:color="auto" w:sz="4" w:space="0"/>
              <w:right w:val="single" w:color="auto" w:sz="4" w:space="0"/>
            </w:tcBorders>
            <w:vAlign w:val="center"/>
          </w:tcPr>
          <w:p w14:paraId="64495A57">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6D1B9E35">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579158F4">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7E0E72A9">
            <w:pPr>
              <w:spacing w:line="560" w:lineRule="exact"/>
              <w:jc w:val="center"/>
              <w:rPr>
                <w:rFonts w:hint="eastAsia" w:ascii="仿宋" w:hAnsi="仿宋" w:eastAsia="仿宋" w:cs="仿宋"/>
                <w:sz w:val="24"/>
                <w:szCs w:val="24"/>
                <w:highlight w:val="none"/>
              </w:rPr>
            </w:pPr>
          </w:p>
        </w:tc>
      </w:tr>
      <w:tr w14:paraId="7808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tcBorders>
              <w:top w:val="single" w:color="auto" w:sz="4" w:space="0"/>
              <w:left w:val="single" w:color="auto" w:sz="4" w:space="0"/>
              <w:bottom w:val="single" w:color="auto" w:sz="4" w:space="0"/>
              <w:right w:val="single" w:color="auto" w:sz="4" w:space="0"/>
            </w:tcBorders>
            <w:vAlign w:val="center"/>
          </w:tcPr>
          <w:p w14:paraId="5A0306FB">
            <w:pPr>
              <w:spacing w:line="56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543" w:type="dxa"/>
            <w:tcBorders>
              <w:top w:val="single" w:color="auto" w:sz="4" w:space="0"/>
              <w:left w:val="single" w:color="auto" w:sz="4" w:space="0"/>
              <w:bottom w:val="single" w:color="auto" w:sz="4" w:space="0"/>
              <w:right w:val="single" w:color="auto" w:sz="4" w:space="0"/>
            </w:tcBorders>
            <w:vAlign w:val="center"/>
          </w:tcPr>
          <w:p w14:paraId="412FAB8B">
            <w:pPr>
              <w:spacing w:line="560" w:lineRule="exact"/>
              <w:jc w:val="center"/>
              <w:rPr>
                <w:rFonts w:hint="eastAsia" w:ascii="仿宋" w:hAnsi="仿宋" w:eastAsia="仿宋" w:cs="仿宋"/>
                <w:sz w:val="24"/>
                <w:szCs w:val="24"/>
                <w:highlight w:val="none"/>
              </w:rPr>
            </w:pPr>
          </w:p>
        </w:tc>
        <w:tc>
          <w:tcPr>
            <w:tcW w:w="2185" w:type="dxa"/>
            <w:tcBorders>
              <w:top w:val="single" w:color="auto" w:sz="4" w:space="0"/>
              <w:left w:val="single" w:color="auto" w:sz="4" w:space="0"/>
              <w:bottom w:val="single" w:color="auto" w:sz="4" w:space="0"/>
              <w:right w:val="single" w:color="auto" w:sz="4" w:space="0"/>
            </w:tcBorders>
            <w:vAlign w:val="center"/>
          </w:tcPr>
          <w:p w14:paraId="5CD4BD99">
            <w:pPr>
              <w:spacing w:line="560" w:lineRule="exact"/>
              <w:jc w:val="center"/>
              <w:rPr>
                <w:rFonts w:hint="eastAsia" w:ascii="仿宋" w:hAnsi="仿宋" w:eastAsia="仿宋" w:cs="仿宋"/>
                <w:sz w:val="24"/>
                <w:szCs w:val="24"/>
                <w:highlight w:val="none"/>
              </w:rPr>
            </w:pPr>
          </w:p>
        </w:tc>
        <w:tc>
          <w:tcPr>
            <w:tcW w:w="1827" w:type="dxa"/>
            <w:tcBorders>
              <w:top w:val="single" w:color="auto" w:sz="4" w:space="0"/>
              <w:left w:val="single" w:color="auto" w:sz="4" w:space="0"/>
              <w:bottom w:val="single" w:color="auto" w:sz="4" w:space="0"/>
              <w:right w:val="single" w:color="auto" w:sz="4" w:space="0"/>
            </w:tcBorders>
            <w:vAlign w:val="center"/>
          </w:tcPr>
          <w:p w14:paraId="687A8912">
            <w:pPr>
              <w:spacing w:line="560" w:lineRule="exact"/>
              <w:jc w:val="center"/>
              <w:rPr>
                <w:rFonts w:hint="eastAsia" w:ascii="仿宋" w:hAnsi="仿宋" w:eastAsia="仿宋" w:cs="仿宋"/>
                <w:sz w:val="24"/>
                <w:szCs w:val="24"/>
                <w:highlight w:val="none"/>
              </w:rPr>
            </w:pPr>
          </w:p>
        </w:tc>
        <w:tc>
          <w:tcPr>
            <w:tcW w:w="2142" w:type="dxa"/>
            <w:tcBorders>
              <w:top w:val="single" w:color="auto" w:sz="4" w:space="0"/>
              <w:left w:val="single" w:color="auto" w:sz="4" w:space="0"/>
              <w:bottom w:val="single" w:color="auto" w:sz="4" w:space="0"/>
              <w:right w:val="single" w:color="auto" w:sz="4" w:space="0"/>
            </w:tcBorders>
            <w:vAlign w:val="center"/>
          </w:tcPr>
          <w:p w14:paraId="3FE9665C">
            <w:pPr>
              <w:spacing w:line="560" w:lineRule="exact"/>
              <w:jc w:val="center"/>
              <w:rPr>
                <w:rFonts w:hint="eastAsia" w:ascii="仿宋" w:hAnsi="仿宋" w:eastAsia="仿宋" w:cs="仿宋"/>
                <w:sz w:val="24"/>
                <w:szCs w:val="24"/>
                <w:highlight w:val="none"/>
              </w:rPr>
            </w:pPr>
          </w:p>
        </w:tc>
      </w:tr>
    </w:tbl>
    <w:p w14:paraId="17BA5359">
      <w:pPr>
        <w:spacing w:line="560" w:lineRule="exact"/>
        <w:ind w:firstLine="480" w:firstLineChars="200"/>
        <w:rPr>
          <w:rFonts w:hint="eastAsia" w:ascii="仿宋" w:hAnsi="仿宋" w:eastAsia="仿宋" w:cs="仿宋"/>
          <w:sz w:val="24"/>
          <w:szCs w:val="24"/>
          <w:highlight w:val="none"/>
        </w:rPr>
      </w:pPr>
    </w:p>
    <w:p w14:paraId="621C3527">
      <w:pPr>
        <w:spacing w:line="560" w:lineRule="exact"/>
        <w:ind w:firstLine="480" w:firstLineChars="200"/>
        <w:rPr>
          <w:rFonts w:hint="eastAsia" w:ascii="仿宋" w:hAnsi="仿宋" w:eastAsia="仿宋" w:cs="仿宋"/>
          <w:sz w:val="24"/>
          <w:szCs w:val="24"/>
          <w:highlight w:val="none"/>
        </w:rPr>
      </w:pPr>
    </w:p>
    <w:p w14:paraId="6F2FFF5E">
      <w:pPr>
        <w:spacing w:line="560" w:lineRule="exact"/>
        <w:ind w:firstLine="480" w:firstLineChars="200"/>
        <w:rPr>
          <w:rFonts w:hint="eastAsia" w:ascii="仿宋" w:hAnsi="仿宋" w:eastAsia="仿宋" w:cs="仿宋"/>
          <w:sz w:val="24"/>
          <w:szCs w:val="24"/>
          <w:highlight w:val="none"/>
        </w:rPr>
      </w:pPr>
    </w:p>
    <w:p w14:paraId="1F64B010">
      <w:pPr>
        <w:spacing w:line="560" w:lineRule="exact"/>
        <w:ind w:firstLine="480" w:firstLineChars="200"/>
        <w:rPr>
          <w:rFonts w:hint="eastAsia" w:ascii="仿宋" w:hAnsi="仿宋" w:eastAsia="仿宋" w:cs="仿宋"/>
          <w:sz w:val="24"/>
          <w:szCs w:val="24"/>
          <w:highlight w:val="none"/>
        </w:rPr>
      </w:pPr>
    </w:p>
    <w:p w14:paraId="74C3137A">
      <w:pPr>
        <w:spacing w:line="560" w:lineRule="exact"/>
        <w:ind w:firstLine="480" w:firstLineChars="200"/>
        <w:rPr>
          <w:rFonts w:hint="eastAsia" w:ascii="仿宋" w:hAnsi="仿宋" w:eastAsia="仿宋" w:cs="仿宋"/>
          <w:sz w:val="24"/>
          <w:szCs w:val="24"/>
          <w:highlight w:val="none"/>
        </w:rPr>
      </w:pPr>
    </w:p>
    <w:p w14:paraId="7ACF1BF7">
      <w:pPr>
        <w:spacing w:line="560" w:lineRule="exact"/>
        <w:ind w:firstLine="480" w:firstLineChars="200"/>
        <w:rPr>
          <w:rFonts w:hint="eastAsia" w:ascii="仿宋" w:hAnsi="仿宋" w:eastAsia="仿宋" w:cs="仿宋"/>
          <w:sz w:val="24"/>
          <w:szCs w:val="24"/>
          <w:highlight w:val="none"/>
        </w:rPr>
      </w:pPr>
    </w:p>
    <w:p w14:paraId="7670BB41">
      <w:pPr>
        <w:spacing w:line="560" w:lineRule="exact"/>
        <w:ind w:firstLine="480" w:firstLineChars="200"/>
        <w:rPr>
          <w:rFonts w:hint="eastAsia" w:ascii="仿宋" w:hAnsi="仿宋" w:eastAsia="仿宋" w:cs="仿宋"/>
          <w:sz w:val="24"/>
          <w:szCs w:val="24"/>
          <w:highlight w:val="none"/>
        </w:rPr>
      </w:pPr>
    </w:p>
    <w:p w14:paraId="5DCC9570">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参与遴选单位名称（盖章）：</w:t>
      </w:r>
    </w:p>
    <w:p w14:paraId="0C8DC807">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363F5BF5">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参与遴选单位代表签字或盖章：</w:t>
      </w:r>
    </w:p>
    <w:p w14:paraId="37B78E4F">
      <w:pPr>
        <w:spacing w:line="560" w:lineRule="exact"/>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17DB5168">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注：业绩汇总表格式投标人可根据需要自拟。</w:t>
      </w:r>
    </w:p>
    <w:p w14:paraId="53CEBB0D">
      <w:pPr>
        <w:pStyle w:val="37"/>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r>
    </w:p>
    <w:p w14:paraId="3CEACB5F">
      <w:pPr>
        <w:numPr>
          <w:ilvl w:val="0"/>
          <w:numId w:val="2"/>
        </w:numPr>
        <w:jc w:val="center"/>
        <w:rPr>
          <w:rFonts w:hint="eastAsia" w:ascii="仿宋" w:hAnsi="仿宋" w:eastAsia="仿宋" w:cs="Times New Roman"/>
          <w:sz w:val="30"/>
          <w:szCs w:val="30"/>
          <w:highlight w:val="none"/>
          <w:lang w:val="en-US" w:eastAsia="zh-CN"/>
        </w:rPr>
      </w:pPr>
      <w:bookmarkStart w:id="14" w:name="_Hlk193983287"/>
      <w:r>
        <w:rPr>
          <w:rFonts w:hint="eastAsia" w:ascii="仿宋" w:hAnsi="仿宋" w:eastAsia="仿宋" w:cs="Times New Roman"/>
          <w:sz w:val="30"/>
          <w:szCs w:val="30"/>
          <w:highlight w:val="none"/>
          <w:lang w:val="en-US" w:eastAsia="zh-CN"/>
        </w:rPr>
        <w:t>遴选报价说明</w:t>
      </w:r>
    </w:p>
    <w:p w14:paraId="6258D31B">
      <w:pPr>
        <w:pStyle w:val="2"/>
        <w:rPr>
          <w:rFonts w:hint="eastAsia"/>
          <w:highlight w:val="none"/>
          <w:lang w:val="en-US" w:eastAsia="zh-CN"/>
        </w:rPr>
      </w:pPr>
    </w:p>
    <w:p w14:paraId="06E174F7">
      <w:pPr>
        <w:pStyle w:val="2"/>
        <w:keepNext w:val="0"/>
        <w:keepLines w:val="0"/>
        <w:pageBreakBefore w:val="0"/>
        <w:numPr>
          <w:ilvl w:val="0"/>
          <w:numId w:val="0"/>
        </w:numPr>
        <w:kinsoku/>
        <w:wordWrap/>
        <w:overflowPunct/>
        <w:topLinePunct w:val="0"/>
        <w:autoSpaceDE/>
        <w:autoSpaceDN/>
        <w:bidi w:val="0"/>
        <w:adjustRightInd/>
        <w:spacing w:line="520" w:lineRule="atLeast"/>
        <w:textAlignment w:val="auto"/>
        <w:rPr>
          <w:rFonts w:hint="default" w:ascii="仿宋" w:hAnsi="仿宋" w:eastAsia="仿宋" w:cs="仿宋"/>
          <w:snapToGrid/>
          <w:kern w:val="2"/>
          <w:sz w:val="24"/>
          <w:szCs w:val="24"/>
          <w:highlight w:val="none"/>
          <w:u w:val="single"/>
          <w:lang w:val="en-US" w:eastAsia="zh-CN" w:bidi="ar-SA"/>
        </w:rPr>
      </w:pPr>
      <w:r>
        <w:rPr>
          <w:rFonts w:hint="eastAsia" w:ascii="仿宋" w:hAnsi="仿宋" w:eastAsia="仿宋" w:cs="仿宋"/>
          <w:snapToGrid/>
          <w:kern w:val="2"/>
          <w:sz w:val="24"/>
          <w:szCs w:val="24"/>
          <w:highlight w:val="none"/>
          <w:u w:val="single"/>
          <w:lang w:val="en-US" w:eastAsia="zh-CN" w:bidi="ar-SA"/>
        </w:rPr>
        <w:t>丰县中小学食堂招标工作组：</w:t>
      </w:r>
    </w:p>
    <w:bookmarkEnd w:id="14"/>
    <w:p w14:paraId="632144A6">
      <w:pPr>
        <w:keepNext w:val="0"/>
        <w:keepLines w:val="0"/>
        <w:pageBreakBefore w:val="0"/>
        <w:widowControl w:val="0"/>
        <w:kinsoku/>
        <w:wordWrap/>
        <w:topLinePunct w:val="0"/>
        <w:bidi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.中小学食堂食材招标“评标竞价”方式中标供应商</w:t>
      </w:r>
      <w:r>
        <w:rPr>
          <w:rFonts w:hint="eastAsia" w:ascii="仿宋" w:hAnsi="仿宋" w:eastAsia="仿宋" w:cs="仿宋"/>
          <w:color w:val="auto"/>
          <w:sz w:val="24"/>
          <w:szCs w:val="24"/>
          <w:highlight w:val="none"/>
        </w:rPr>
        <w:t>单个标段代理服务费=5000元计费基数×</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“实际竞价”方式</w:t>
      </w:r>
      <w:r>
        <w:rPr>
          <w:rFonts w:hint="eastAsia" w:ascii="仿宋" w:hAnsi="仿宋" w:eastAsia="仿宋" w:cs="仿宋"/>
          <w:color w:val="auto"/>
          <w:sz w:val="24"/>
          <w:szCs w:val="24"/>
          <w:highlight w:val="none"/>
          <w:lang w:val="en-US" w:eastAsia="zh-CN"/>
        </w:rPr>
        <w:t>标段</w:t>
      </w:r>
      <w:r>
        <w:rPr>
          <w:rFonts w:hint="eastAsia" w:ascii="仿宋" w:hAnsi="仿宋" w:eastAsia="仿宋" w:cs="仿宋"/>
          <w:color w:val="auto"/>
          <w:sz w:val="24"/>
          <w:szCs w:val="24"/>
          <w:highlight w:val="none"/>
        </w:rPr>
        <w:t>，免收代理服务费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中小学校外供餐企业入围项目入围供应商代理服务费=10000元计费基数</w:t>
      </w:r>
      <w:r>
        <w:rPr>
          <w:rFonts w:hint="eastAsia" w:ascii="仿宋" w:hAnsi="仿宋" w:eastAsia="仿宋" w:cs="仿宋"/>
          <w:color w:val="auto"/>
          <w:sz w:val="24"/>
          <w:szCs w:val="24"/>
          <w:highlight w:val="none"/>
        </w:rPr>
        <w:t>×</w:t>
      </w:r>
      <w:r>
        <w:rPr>
          <w:rFonts w:hint="eastAsia" w:ascii="仿宋" w:hAnsi="仿宋" w:eastAsia="仿宋" w:cs="仿宋"/>
          <w:sz w:val="24"/>
          <w:szCs w:val="24"/>
          <w:highlight w:val="none"/>
        </w:rPr>
        <w:t>参与遴选单位</w:t>
      </w:r>
      <w:r>
        <w:rPr>
          <w:rFonts w:hint="eastAsia" w:ascii="仿宋" w:hAnsi="仿宋" w:eastAsia="仿宋" w:cs="仿宋"/>
          <w:color w:val="auto"/>
          <w:sz w:val="24"/>
          <w:szCs w:val="24"/>
          <w:highlight w:val="none"/>
        </w:rPr>
        <w:t>有效填报费率。</w:t>
      </w:r>
      <w:r>
        <w:rPr>
          <w:rFonts w:hint="eastAsia" w:ascii="仿宋" w:hAnsi="仿宋" w:eastAsia="仿宋" w:cs="仿宋"/>
          <w:color w:val="auto"/>
          <w:sz w:val="24"/>
          <w:szCs w:val="24"/>
          <w:highlight w:val="none"/>
          <w:lang w:val="en-US" w:eastAsia="zh-CN"/>
        </w:rPr>
        <w:t>我方</w:t>
      </w:r>
      <w:r>
        <w:rPr>
          <w:rFonts w:hint="eastAsia" w:ascii="仿宋" w:hAnsi="仿宋" w:eastAsia="仿宋" w:cs="仿宋"/>
          <w:color w:val="auto"/>
          <w:sz w:val="24"/>
          <w:szCs w:val="24"/>
          <w:highlight w:val="none"/>
        </w:rPr>
        <w:t>填报费率</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最高不得超过100%；填报费率超出100%的，响应文件按无效处理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w:t>
      </w:r>
    </w:p>
    <w:p w14:paraId="65B0C40F">
      <w:pPr>
        <w:pStyle w:val="37"/>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单个委托项目采购文件工本费：</w:t>
      </w:r>
      <w:r>
        <w:rPr>
          <w:rFonts w:hint="eastAsia" w:ascii="仿宋" w:hAnsi="仿宋" w:eastAsia="仿宋" w:cs="仿宋"/>
          <w:color w:val="auto"/>
          <w:kern w:val="2"/>
          <w:sz w:val="24"/>
          <w:szCs w:val="24"/>
          <w:highlight w:val="none"/>
          <w:lang w:val="en-US" w:eastAsia="zh-CN" w:bidi="ar-SA"/>
        </w:rPr>
        <w:t>资格审查文件、招标文件售价不高于500元。丰</w:t>
      </w:r>
      <w:r>
        <w:rPr>
          <w:rFonts w:hint="eastAsia" w:ascii="仿宋" w:hAnsi="仿宋" w:eastAsia="仿宋" w:cs="仿宋"/>
          <w:sz w:val="24"/>
          <w:szCs w:val="24"/>
          <w:highlight w:val="none"/>
        </w:rPr>
        <w:t>县</w:t>
      </w:r>
      <w:r>
        <w:rPr>
          <w:rFonts w:hint="eastAsia" w:ascii="仿宋" w:hAnsi="仿宋" w:eastAsia="仿宋" w:cs="仿宋"/>
          <w:sz w:val="24"/>
          <w:szCs w:val="24"/>
          <w:highlight w:val="none"/>
          <w:lang w:val="en-US" w:eastAsia="zh-CN"/>
        </w:rPr>
        <w:t>中小学食堂</w:t>
      </w:r>
      <w:r>
        <w:rPr>
          <w:rFonts w:hint="eastAsia" w:ascii="仿宋" w:hAnsi="仿宋" w:eastAsia="仿宋" w:cs="仿宋"/>
          <w:color w:val="000000" w:themeColor="text1"/>
          <w:sz w:val="24"/>
          <w:szCs w:val="24"/>
          <w:highlight w:val="none"/>
          <w:lang w:val="en-US" w:eastAsia="zh-CN"/>
          <w14:textFill>
            <w14:solidFill>
              <w14:schemeClr w14:val="tx1"/>
            </w14:solidFill>
          </w14:textFill>
        </w:rPr>
        <w:t>食材采购</w:t>
      </w:r>
      <w:r>
        <w:rPr>
          <w:rFonts w:hint="eastAsia" w:ascii="仿宋" w:hAnsi="仿宋" w:eastAsia="仿宋" w:cs="仿宋"/>
          <w:bCs/>
          <w:color w:val="auto"/>
          <w:sz w:val="24"/>
          <w:szCs w:val="24"/>
          <w:highlight w:val="none"/>
          <w:lang w:val="en-US" w:eastAsia="zh-CN"/>
        </w:rPr>
        <w:t>招标文件由潜在供应商在江苏省中小学食堂招标采购信息公开网（https://xxgs.jsed.edu.cn）自行免费下载</w:t>
      </w:r>
      <w:r>
        <w:rPr>
          <w:rFonts w:hint="eastAsia" w:ascii="仿宋" w:hAnsi="仿宋" w:eastAsia="仿宋" w:cs="仿宋"/>
          <w:bCs/>
          <w:color w:val="auto"/>
          <w:sz w:val="24"/>
          <w:szCs w:val="24"/>
          <w:highlight w:val="none"/>
          <w:lang w:eastAsia="zh-CN"/>
        </w:rPr>
        <w:t>。</w:t>
      </w:r>
    </w:p>
    <w:p w14:paraId="75CAB905">
      <w:pPr>
        <w:pStyle w:val="37"/>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kern w:val="2"/>
          <w:sz w:val="24"/>
          <w:szCs w:val="24"/>
          <w:highlight w:val="none"/>
          <w:lang w:eastAsia="zh-CN"/>
        </w:rPr>
        <w:t>3</w:t>
      </w:r>
      <w:r>
        <w:rPr>
          <w:rFonts w:hint="eastAsia" w:ascii="仿宋" w:hAnsi="仿宋" w:eastAsia="仿宋" w:cs="仿宋"/>
          <w:kern w:val="2"/>
          <w:sz w:val="24"/>
          <w:szCs w:val="24"/>
          <w:highlight w:val="none"/>
          <w:lang w:val="en-US" w:eastAsia="zh-CN"/>
        </w:rPr>
        <w:t>.</w:t>
      </w:r>
      <w:r>
        <w:rPr>
          <w:rFonts w:hint="eastAsia" w:ascii="仿宋" w:hAnsi="仿宋" w:eastAsia="仿宋" w:cs="仿宋"/>
          <w:bCs/>
          <w:color w:val="auto"/>
          <w:sz w:val="24"/>
          <w:szCs w:val="24"/>
          <w:highlight w:val="none"/>
          <w:lang w:eastAsia="zh-CN"/>
        </w:rPr>
        <w:t>按</w:t>
      </w:r>
      <w:r>
        <w:rPr>
          <w:rFonts w:hint="eastAsia" w:ascii="仿宋" w:hAnsi="仿宋" w:eastAsia="仿宋" w:cs="仿宋"/>
          <w:bCs/>
          <w:color w:val="auto"/>
          <w:sz w:val="24"/>
          <w:szCs w:val="24"/>
          <w:highlight w:val="none"/>
          <w:lang w:val="en-US" w:eastAsia="zh-CN"/>
        </w:rPr>
        <w:t>以上方式</w:t>
      </w:r>
      <w:r>
        <w:rPr>
          <w:rFonts w:hint="eastAsia" w:ascii="仿宋" w:hAnsi="仿宋" w:eastAsia="仿宋" w:cs="仿宋"/>
          <w:bCs/>
          <w:color w:val="auto"/>
          <w:sz w:val="24"/>
          <w:szCs w:val="24"/>
          <w:highlight w:val="none"/>
          <w:lang w:eastAsia="zh-CN"/>
        </w:rPr>
        <w:t>计算的收费为代理服务全过程的收费金额。</w:t>
      </w:r>
    </w:p>
    <w:p w14:paraId="43252E8A">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我方同意在遴选有效期内遵守本响应文件，在此期限期满之前的任何时间，本响应文件一直对我们具有约束力</w:t>
      </w:r>
      <w:r>
        <w:rPr>
          <w:rFonts w:hint="eastAsia" w:ascii="仿宋" w:hAnsi="仿宋" w:eastAsia="仿宋" w:cs="仿宋"/>
          <w:sz w:val="24"/>
          <w:szCs w:val="24"/>
          <w:highlight w:val="none"/>
          <w:lang w:eastAsia="zh-CN"/>
        </w:rPr>
        <w:t>。</w:t>
      </w:r>
    </w:p>
    <w:p w14:paraId="047745D8">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声明本遴选报价己考虑了所有因素，并遵守国家相关法律法规、规范进行报价，遴选有效期内，遴选价格保持不变</w:t>
      </w:r>
      <w:r>
        <w:rPr>
          <w:rFonts w:hint="eastAsia" w:ascii="仿宋" w:hAnsi="仿宋" w:eastAsia="仿宋" w:cs="仿宋"/>
          <w:sz w:val="24"/>
          <w:szCs w:val="24"/>
          <w:highlight w:val="none"/>
          <w:lang w:eastAsia="zh-CN"/>
        </w:rPr>
        <w:t>。</w:t>
      </w:r>
    </w:p>
    <w:p w14:paraId="34DD78E6">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理解你</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并不一定非得接受最低标报价的遴选或你方可能收到的任何响应文件的约束，同时也理解你方不负担我们的任何遴选费用</w:t>
      </w:r>
      <w:r>
        <w:rPr>
          <w:rFonts w:hint="eastAsia" w:ascii="仿宋" w:hAnsi="仿宋" w:eastAsia="仿宋" w:cs="仿宋"/>
          <w:sz w:val="24"/>
          <w:szCs w:val="24"/>
          <w:highlight w:val="none"/>
          <w:lang w:eastAsia="zh-CN"/>
        </w:rPr>
        <w:t>。</w:t>
      </w:r>
    </w:p>
    <w:p w14:paraId="2F73DEE8">
      <w:pPr>
        <w:keepNext w:val="0"/>
        <w:keepLines w:val="0"/>
        <w:pageBreakBefore w:val="0"/>
        <w:kinsoku/>
        <w:wordWrap/>
        <w:overflowPunct/>
        <w:topLinePunct w:val="0"/>
        <w:autoSpaceDE/>
        <w:autoSpaceDN/>
        <w:bidi w:val="0"/>
        <w:adjustRightInd/>
        <w:spacing w:line="52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认为你</w:t>
      </w:r>
      <w:r>
        <w:rPr>
          <w:rFonts w:hint="eastAsia" w:ascii="仿宋" w:hAnsi="仿宋" w:eastAsia="仿宋" w:cs="仿宋"/>
          <w:sz w:val="24"/>
          <w:szCs w:val="24"/>
          <w:highlight w:val="none"/>
          <w:lang w:val="en-US" w:eastAsia="zh-CN"/>
        </w:rPr>
        <w:t>方</w:t>
      </w:r>
      <w:r>
        <w:rPr>
          <w:rFonts w:hint="eastAsia" w:ascii="仿宋" w:hAnsi="仿宋" w:eastAsia="仿宋" w:cs="仿宋"/>
          <w:sz w:val="24"/>
          <w:szCs w:val="24"/>
          <w:highlight w:val="none"/>
        </w:rPr>
        <w:t>在授</w:t>
      </w:r>
      <w:r>
        <w:rPr>
          <w:rFonts w:hint="eastAsia" w:ascii="仿宋" w:hAnsi="仿宋" w:eastAsia="仿宋" w:cs="仿宋"/>
          <w:color w:val="auto"/>
          <w:sz w:val="24"/>
          <w:szCs w:val="24"/>
          <w:highlight w:val="none"/>
        </w:rPr>
        <w:t>予</w:t>
      </w:r>
      <w:r>
        <w:rPr>
          <w:rFonts w:hint="eastAsia" w:ascii="仿宋" w:hAnsi="仿宋" w:eastAsia="仿宋" w:cs="仿宋"/>
          <w:color w:val="auto"/>
          <w:sz w:val="24"/>
          <w:szCs w:val="24"/>
          <w:highlight w:val="none"/>
          <w:lang w:val="en-US" w:eastAsia="zh-CN"/>
        </w:rPr>
        <w:t>委托书</w:t>
      </w:r>
      <w:r>
        <w:rPr>
          <w:rFonts w:hint="eastAsia" w:ascii="仿宋" w:hAnsi="仿宋" w:eastAsia="仿宋" w:cs="仿宋"/>
          <w:color w:val="auto"/>
          <w:sz w:val="24"/>
          <w:szCs w:val="24"/>
          <w:highlight w:val="none"/>
        </w:rPr>
        <w:t>时，有</w:t>
      </w:r>
      <w:r>
        <w:rPr>
          <w:rFonts w:hint="eastAsia" w:ascii="仿宋" w:hAnsi="仿宋" w:eastAsia="仿宋" w:cs="仿宋"/>
          <w:sz w:val="24"/>
          <w:szCs w:val="24"/>
          <w:highlight w:val="none"/>
        </w:rPr>
        <w:t>权对遴选范围及要求中规定的内容和服务予以增加或减少，而不必征得中标人同意。</w:t>
      </w:r>
    </w:p>
    <w:p w14:paraId="2C865388">
      <w:pPr>
        <w:spacing w:line="560" w:lineRule="exact"/>
        <w:ind w:firstLine="480" w:firstLineChars="200"/>
        <w:rPr>
          <w:rFonts w:hint="eastAsia" w:ascii="仿宋" w:hAnsi="仿宋" w:eastAsia="仿宋" w:cs="仿宋"/>
          <w:sz w:val="24"/>
          <w:szCs w:val="24"/>
          <w:highlight w:val="none"/>
        </w:rPr>
      </w:pPr>
    </w:p>
    <w:p w14:paraId="50C2FB36">
      <w:pPr>
        <w:pStyle w:val="2"/>
        <w:rPr>
          <w:rFonts w:hint="eastAsia"/>
          <w:highlight w:val="none"/>
        </w:rPr>
      </w:pPr>
    </w:p>
    <w:p w14:paraId="77FF757B">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参与遴选单位名称（盖章）：</w:t>
      </w:r>
    </w:p>
    <w:p w14:paraId="1E4AD630">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3807B57F">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参与遴选单位代表签字或盖章：</w:t>
      </w:r>
    </w:p>
    <w:p w14:paraId="1ACA9C9C">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5F507932">
      <w:pPr>
        <w:pStyle w:val="37"/>
        <w:spacing w:line="560" w:lineRule="exact"/>
        <w:rPr>
          <w:rFonts w:hint="eastAsia" w:ascii="仿宋" w:hAnsi="仿宋" w:eastAsia="仿宋" w:cs="仿宋"/>
          <w:b/>
          <w:color w:val="FF0000"/>
          <w:sz w:val="24"/>
          <w:szCs w:val="24"/>
          <w:highlight w:val="none"/>
          <w:lang w:eastAsia="zh-CN"/>
        </w:rPr>
      </w:pPr>
    </w:p>
    <w:p w14:paraId="1D6B8D24">
      <w:pPr>
        <w:pStyle w:val="37"/>
        <w:spacing w:line="560" w:lineRule="exact"/>
        <w:rPr>
          <w:rFonts w:hint="eastAsia" w:ascii="仿宋" w:hAnsi="仿宋" w:eastAsia="仿宋" w:cs="仿宋"/>
          <w:b/>
          <w:color w:val="FF0000"/>
          <w:sz w:val="24"/>
          <w:szCs w:val="24"/>
          <w:highlight w:val="none"/>
          <w:lang w:eastAsia="zh-CN"/>
        </w:rPr>
      </w:pPr>
    </w:p>
    <w:p w14:paraId="1F2D1940">
      <w:pPr>
        <w:pStyle w:val="37"/>
        <w:spacing w:line="560" w:lineRule="exact"/>
        <w:rPr>
          <w:rFonts w:hint="eastAsia" w:ascii="仿宋" w:hAnsi="仿宋" w:eastAsia="仿宋" w:cs="仿宋"/>
          <w:b/>
          <w:color w:val="FF0000"/>
          <w:sz w:val="24"/>
          <w:szCs w:val="24"/>
          <w:highlight w:val="none"/>
          <w:lang w:eastAsia="zh-CN"/>
        </w:rPr>
      </w:pPr>
      <w:r>
        <w:rPr>
          <w:rFonts w:hint="eastAsia" w:ascii="仿宋" w:hAnsi="仿宋" w:eastAsia="仿宋" w:cs="仿宋"/>
          <w:b/>
          <w:color w:val="FF0000"/>
          <w:sz w:val="24"/>
          <w:szCs w:val="24"/>
          <w:highlight w:val="none"/>
          <w:lang w:eastAsia="zh-CN"/>
        </w:rPr>
        <w:t>注：请在提交投标文件时，另外单独提交一份经密封的“遴选报价</w:t>
      </w:r>
      <w:r>
        <w:rPr>
          <w:rFonts w:hint="eastAsia" w:ascii="仿宋" w:hAnsi="仿宋" w:eastAsia="仿宋" w:cs="仿宋"/>
          <w:b/>
          <w:color w:val="FF0000"/>
          <w:sz w:val="24"/>
          <w:szCs w:val="24"/>
          <w:highlight w:val="none"/>
          <w:lang w:val="en-US" w:eastAsia="zh-CN"/>
        </w:rPr>
        <w:t>说明</w:t>
      </w:r>
      <w:r>
        <w:rPr>
          <w:rFonts w:hint="eastAsia" w:ascii="仿宋" w:hAnsi="仿宋" w:eastAsia="仿宋" w:cs="仿宋"/>
          <w:b/>
          <w:color w:val="FF0000"/>
          <w:sz w:val="24"/>
          <w:szCs w:val="24"/>
          <w:highlight w:val="none"/>
          <w:lang w:eastAsia="zh-CN"/>
        </w:rPr>
        <w:t>”供唱标时使用；封面请注明投标单位名称并加盖公章。</w:t>
      </w:r>
    </w:p>
    <w:p w14:paraId="6A35A3B4">
      <w:pP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br w:type="page"/>
      </w:r>
    </w:p>
    <w:p w14:paraId="2FA64774">
      <w:pPr>
        <w:jc w:val="center"/>
        <w:rPr>
          <w:rFonts w:hint="eastAsia" w:ascii="仿宋" w:hAnsi="仿宋" w:eastAsia="仿宋" w:cs="Times New Roman"/>
          <w:sz w:val="30"/>
          <w:szCs w:val="30"/>
          <w:highlight w:val="none"/>
          <w:lang w:val="en-US" w:eastAsia="zh-CN"/>
        </w:rPr>
      </w:pPr>
      <w:r>
        <w:rPr>
          <w:rFonts w:hint="eastAsia" w:ascii="仿宋" w:hAnsi="仿宋" w:eastAsia="仿宋" w:cs="Times New Roman"/>
          <w:sz w:val="30"/>
          <w:szCs w:val="30"/>
          <w:highlight w:val="none"/>
          <w:lang w:val="en-US" w:eastAsia="zh-CN"/>
        </w:rPr>
        <w:t>六、其他说明、证书、承诺等</w:t>
      </w:r>
    </w:p>
    <w:p w14:paraId="190FE6EA">
      <w:pPr>
        <w:widowControl/>
        <w:spacing w:before="150" w:after="156" w:line="560" w:lineRule="exact"/>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eastAsia="zh-CN"/>
        </w:rPr>
        <w:t>丰县中小学食堂招标工作组</w:t>
      </w:r>
      <w:r>
        <w:rPr>
          <w:rFonts w:hint="eastAsia" w:ascii="仿宋" w:hAnsi="仿宋" w:eastAsia="仿宋" w:cs="仿宋"/>
          <w:kern w:val="0"/>
          <w:sz w:val="24"/>
          <w:szCs w:val="24"/>
          <w:highlight w:val="none"/>
          <w:u w:val="single"/>
        </w:rPr>
        <w:t>：</w:t>
      </w:r>
    </w:p>
    <w:p w14:paraId="121A5436">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w:t>
      </w:r>
      <w:r>
        <w:rPr>
          <w:rFonts w:hint="eastAsia" w:ascii="仿宋" w:hAnsi="仿宋" w:eastAsia="仿宋" w:cs="仿宋"/>
          <w:kern w:val="0"/>
          <w:sz w:val="24"/>
          <w:szCs w:val="24"/>
          <w:highlight w:val="none"/>
          <w:lang w:val="en-US" w:eastAsia="zh-CN"/>
        </w:rPr>
        <w:t>.</w:t>
      </w:r>
    </w:p>
    <w:p w14:paraId="171D4DBF">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2</w:t>
      </w:r>
      <w:r>
        <w:rPr>
          <w:rFonts w:hint="eastAsia" w:ascii="仿宋" w:hAnsi="仿宋" w:eastAsia="仿宋" w:cs="仿宋"/>
          <w:kern w:val="0"/>
          <w:sz w:val="24"/>
          <w:szCs w:val="24"/>
          <w:highlight w:val="none"/>
          <w:lang w:val="en-US" w:eastAsia="zh-CN"/>
        </w:rPr>
        <w:t>.</w:t>
      </w:r>
    </w:p>
    <w:p w14:paraId="5A3C5FB8">
      <w:pPr>
        <w:widowControl/>
        <w:spacing w:before="150" w:after="156" w:line="560" w:lineRule="exac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3</w:t>
      </w:r>
      <w:r>
        <w:rPr>
          <w:rFonts w:hint="eastAsia" w:ascii="仿宋" w:hAnsi="仿宋" w:eastAsia="仿宋" w:cs="仿宋"/>
          <w:kern w:val="0"/>
          <w:sz w:val="24"/>
          <w:szCs w:val="24"/>
          <w:highlight w:val="none"/>
          <w:lang w:val="en-US" w:eastAsia="zh-CN"/>
        </w:rPr>
        <w:t>.</w:t>
      </w:r>
    </w:p>
    <w:p w14:paraId="5930ECAF">
      <w:pPr>
        <w:widowControl/>
        <w:spacing w:before="150" w:after="156" w:line="560" w:lineRule="exac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p>
    <w:p w14:paraId="44F4E36B">
      <w:pPr>
        <w:widowControl/>
        <w:spacing w:before="150" w:after="156" w:line="560" w:lineRule="exact"/>
        <w:jc w:val="center"/>
        <w:rPr>
          <w:rFonts w:hint="eastAsia" w:ascii="仿宋" w:hAnsi="仿宋" w:eastAsia="仿宋" w:cs="仿宋"/>
          <w:b/>
          <w:sz w:val="24"/>
          <w:szCs w:val="24"/>
          <w:highlight w:val="none"/>
        </w:rPr>
      </w:pPr>
    </w:p>
    <w:p w14:paraId="01C564A7">
      <w:pPr>
        <w:widowControl/>
        <w:spacing w:before="150" w:after="156" w:line="56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参与遴选单位名称（盖章）：</w:t>
      </w:r>
    </w:p>
    <w:p w14:paraId="0CB319E9">
      <w:pPr>
        <w:widowControl/>
        <w:spacing w:before="150" w:after="156"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法定代表人或参与遴选单位代表签字：</w:t>
      </w:r>
    </w:p>
    <w:p w14:paraId="316F7508">
      <w:pPr>
        <w:widowControl/>
        <w:spacing w:before="150" w:after="156"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sectPr>
      <w:pgSz w:w="11906" w:h="16838"/>
      <w:pgMar w:top="1418" w:right="1134" w:bottom="1247"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4510036"/>
    </w:sdtPr>
    <w:sdtContent>
      <w:sdt>
        <w:sdtPr>
          <w:id w:val="1728636285"/>
        </w:sdtPr>
        <w:sdtContent>
          <w:p w14:paraId="55AAABC4">
            <w:pPr>
              <w:pStyle w:val="1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39</w:t>
            </w:r>
            <w:r>
              <w:rPr>
                <w:b/>
                <w:bCs/>
                <w:sz w:val="24"/>
                <w:szCs w:val="24"/>
              </w:rPr>
              <w:fldChar w:fldCharType="end"/>
            </w:r>
          </w:p>
        </w:sdtContent>
      </w:sdt>
    </w:sdtContent>
  </w:sdt>
  <w:p w14:paraId="0F8C64DC">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9CE78C"/>
    <w:multiLevelType w:val="singleLevel"/>
    <w:tmpl w:val="539CE78C"/>
    <w:lvl w:ilvl="0" w:tentative="0">
      <w:start w:val="5"/>
      <w:numFmt w:val="chineseCounting"/>
      <w:suff w:val="nothing"/>
      <w:lvlText w:val="%1、"/>
      <w:lvlJc w:val="left"/>
      <w:rPr>
        <w:rFonts w:hint="eastAsia"/>
      </w:rPr>
    </w:lvl>
  </w:abstractNum>
  <w:abstractNum w:abstractNumId="1">
    <w:nsid w:val="665D3F2D"/>
    <w:multiLevelType w:val="multilevel"/>
    <w:tmpl w:val="665D3F2D"/>
    <w:lvl w:ilvl="0" w:tentative="0">
      <w:start w:val="1"/>
      <w:numFmt w:val="decimal"/>
      <w:pStyle w:val="2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wNTBmNTlhMzhiMmRiZjlhMDRlMTc3YTRlYzRlMDQifQ=="/>
  </w:docVars>
  <w:rsids>
    <w:rsidRoot w:val="008442FF"/>
    <w:rsid w:val="00002CD1"/>
    <w:rsid w:val="00003025"/>
    <w:rsid w:val="000041DB"/>
    <w:rsid w:val="00006296"/>
    <w:rsid w:val="00011262"/>
    <w:rsid w:val="000115F0"/>
    <w:rsid w:val="0001559E"/>
    <w:rsid w:val="00022373"/>
    <w:rsid w:val="00024A02"/>
    <w:rsid w:val="00025BB1"/>
    <w:rsid w:val="00026563"/>
    <w:rsid w:val="00030096"/>
    <w:rsid w:val="00036DEE"/>
    <w:rsid w:val="000404EC"/>
    <w:rsid w:val="00040C50"/>
    <w:rsid w:val="000441D3"/>
    <w:rsid w:val="000620DF"/>
    <w:rsid w:val="00066EF6"/>
    <w:rsid w:val="00070885"/>
    <w:rsid w:val="00072C63"/>
    <w:rsid w:val="00073BC9"/>
    <w:rsid w:val="00077F1A"/>
    <w:rsid w:val="00080562"/>
    <w:rsid w:val="0008516B"/>
    <w:rsid w:val="000A0478"/>
    <w:rsid w:val="000A20B3"/>
    <w:rsid w:val="000A2AD7"/>
    <w:rsid w:val="000A43C4"/>
    <w:rsid w:val="000A52A6"/>
    <w:rsid w:val="000B3953"/>
    <w:rsid w:val="000B5238"/>
    <w:rsid w:val="000B5E89"/>
    <w:rsid w:val="000C06B2"/>
    <w:rsid w:val="000C1FCF"/>
    <w:rsid w:val="000C5AC5"/>
    <w:rsid w:val="000C6DF8"/>
    <w:rsid w:val="000D2505"/>
    <w:rsid w:val="000E5DF0"/>
    <w:rsid w:val="000E64AA"/>
    <w:rsid w:val="000F0DCF"/>
    <w:rsid w:val="000F102D"/>
    <w:rsid w:val="000F7027"/>
    <w:rsid w:val="001046A9"/>
    <w:rsid w:val="00107516"/>
    <w:rsid w:val="00107F16"/>
    <w:rsid w:val="0011078A"/>
    <w:rsid w:val="00115D64"/>
    <w:rsid w:val="00116FED"/>
    <w:rsid w:val="001175DC"/>
    <w:rsid w:val="00117D02"/>
    <w:rsid w:val="00120957"/>
    <w:rsid w:val="00121CA5"/>
    <w:rsid w:val="00131D45"/>
    <w:rsid w:val="00132EA1"/>
    <w:rsid w:val="00145B17"/>
    <w:rsid w:val="001462E4"/>
    <w:rsid w:val="001507DF"/>
    <w:rsid w:val="00153E49"/>
    <w:rsid w:val="001637F9"/>
    <w:rsid w:val="00164A5B"/>
    <w:rsid w:val="0016671D"/>
    <w:rsid w:val="001673A7"/>
    <w:rsid w:val="001719DD"/>
    <w:rsid w:val="00172574"/>
    <w:rsid w:val="00173A03"/>
    <w:rsid w:val="00177CD9"/>
    <w:rsid w:val="001818E4"/>
    <w:rsid w:val="001861BC"/>
    <w:rsid w:val="00194F90"/>
    <w:rsid w:val="00195B4B"/>
    <w:rsid w:val="00196AB5"/>
    <w:rsid w:val="001B068C"/>
    <w:rsid w:val="001B4565"/>
    <w:rsid w:val="001C6A60"/>
    <w:rsid w:val="001C785D"/>
    <w:rsid w:val="001D0AA5"/>
    <w:rsid w:val="001D4034"/>
    <w:rsid w:val="001D5942"/>
    <w:rsid w:val="001E1349"/>
    <w:rsid w:val="001E1B1C"/>
    <w:rsid w:val="001F3B3A"/>
    <w:rsid w:val="00200576"/>
    <w:rsid w:val="00200E10"/>
    <w:rsid w:val="002024DD"/>
    <w:rsid w:val="0020411E"/>
    <w:rsid w:val="00211970"/>
    <w:rsid w:val="00213923"/>
    <w:rsid w:val="002160B7"/>
    <w:rsid w:val="00217FE8"/>
    <w:rsid w:val="002200D9"/>
    <w:rsid w:val="00220DD3"/>
    <w:rsid w:val="00225BB5"/>
    <w:rsid w:val="00227963"/>
    <w:rsid w:val="00230A88"/>
    <w:rsid w:val="002314B3"/>
    <w:rsid w:val="00232337"/>
    <w:rsid w:val="0023688F"/>
    <w:rsid w:val="00241929"/>
    <w:rsid w:val="00242BA0"/>
    <w:rsid w:val="0024511E"/>
    <w:rsid w:val="00250DE0"/>
    <w:rsid w:val="00251C17"/>
    <w:rsid w:val="00252435"/>
    <w:rsid w:val="00252D9E"/>
    <w:rsid w:val="00253D7F"/>
    <w:rsid w:val="0025688D"/>
    <w:rsid w:val="00257321"/>
    <w:rsid w:val="002616A0"/>
    <w:rsid w:val="00262997"/>
    <w:rsid w:val="00262CE2"/>
    <w:rsid w:val="00264B60"/>
    <w:rsid w:val="00267525"/>
    <w:rsid w:val="00267728"/>
    <w:rsid w:val="002701C1"/>
    <w:rsid w:val="00273387"/>
    <w:rsid w:val="00281663"/>
    <w:rsid w:val="00284CA9"/>
    <w:rsid w:val="00287199"/>
    <w:rsid w:val="00292457"/>
    <w:rsid w:val="002930D5"/>
    <w:rsid w:val="0029333D"/>
    <w:rsid w:val="00293A30"/>
    <w:rsid w:val="00297C42"/>
    <w:rsid w:val="002A0B51"/>
    <w:rsid w:val="002A20D7"/>
    <w:rsid w:val="002A4894"/>
    <w:rsid w:val="002A7F0B"/>
    <w:rsid w:val="002B11C3"/>
    <w:rsid w:val="002B12D8"/>
    <w:rsid w:val="002B564E"/>
    <w:rsid w:val="002C1883"/>
    <w:rsid w:val="002C1B2C"/>
    <w:rsid w:val="002C1F61"/>
    <w:rsid w:val="002C4462"/>
    <w:rsid w:val="002C4E14"/>
    <w:rsid w:val="002C52CD"/>
    <w:rsid w:val="002D0EBB"/>
    <w:rsid w:val="002D30A1"/>
    <w:rsid w:val="002D5157"/>
    <w:rsid w:val="002D7AD3"/>
    <w:rsid w:val="002E0E75"/>
    <w:rsid w:val="002E2A2B"/>
    <w:rsid w:val="002E2BF7"/>
    <w:rsid w:val="002E3D92"/>
    <w:rsid w:val="002F1D59"/>
    <w:rsid w:val="002F7CBC"/>
    <w:rsid w:val="00301B00"/>
    <w:rsid w:val="00302433"/>
    <w:rsid w:val="00305AA6"/>
    <w:rsid w:val="003112F1"/>
    <w:rsid w:val="00313E38"/>
    <w:rsid w:val="00314862"/>
    <w:rsid w:val="00320EBF"/>
    <w:rsid w:val="00321D2C"/>
    <w:rsid w:val="003311AF"/>
    <w:rsid w:val="00331460"/>
    <w:rsid w:val="00332843"/>
    <w:rsid w:val="0033393B"/>
    <w:rsid w:val="00336F78"/>
    <w:rsid w:val="00340BEC"/>
    <w:rsid w:val="003425D3"/>
    <w:rsid w:val="00343E46"/>
    <w:rsid w:val="003446AC"/>
    <w:rsid w:val="00345A64"/>
    <w:rsid w:val="00345FF4"/>
    <w:rsid w:val="003468AE"/>
    <w:rsid w:val="003503CA"/>
    <w:rsid w:val="00351397"/>
    <w:rsid w:val="0035342B"/>
    <w:rsid w:val="00354ED3"/>
    <w:rsid w:val="003567B0"/>
    <w:rsid w:val="003600CB"/>
    <w:rsid w:val="00361114"/>
    <w:rsid w:val="00361F56"/>
    <w:rsid w:val="0036216D"/>
    <w:rsid w:val="003644F7"/>
    <w:rsid w:val="00372E95"/>
    <w:rsid w:val="0037390B"/>
    <w:rsid w:val="003777C1"/>
    <w:rsid w:val="00382761"/>
    <w:rsid w:val="00384456"/>
    <w:rsid w:val="003877CD"/>
    <w:rsid w:val="00392B77"/>
    <w:rsid w:val="00395BF1"/>
    <w:rsid w:val="00397F28"/>
    <w:rsid w:val="003A1186"/>
    <w:rsid w:val="003A4099"/>
    <w:rsid w:val="003A4D8B"/>
    <w:rsid w:val="003A5BDB"/>
    <w:rsid w:val="003A620B"/>
    <w:rsid w:val="003B45D6"/>
    <w:rsid w:val="003C090D"/>
    <w:rsid w:val="003C55A6"/>
    <w:rsid w:val="003C68E6"/>
    <w:rsid w:val="003C6BDE"/>
    <w:rsid w:val="003D0E3F"/>
    <w:rsid w:val="003D15F1"/>
    <w:rsid w:val="003D3320"/>
    <w:rsid w:val="003D7EAD"/>
    <w:rsid w:val="003E0351"/>
    <w:rsid w:val="003E1D0F"/>
    <w:rsid w:val="003E2347"/>
    <w:rsid w:val="003E5212"/>
    <w:rsid w:val="003F0A9B"/>
    <w:rsid w:val="0040475E"/>
    <w:rsid w:val="00404EB2"/>
    <w:rsid w:val="0040521D"/>
    <w:rsid w:val="004058F1"/>
    <w:rsid w:val="00411447"/>
    <w:rsid w:val="00411BA6"/>
    <w:rsid w:val="00414C84"/>
    <w:rsid w:val="004154F7"/>
    <w:rsid w:val="00416743"/>
    <w:rsid w:val="00416871"/>
    <w:rsid w:val="00420341"/>
    <w:rsid w:val="004216FC"/>
    <w:rsid w:val="00431025"/>
    <w:rsid w:val="004356CF"/>
    <w:rsid w:val="004368AB"/>
    <w:rsid w:val="00441839"/>
    <w:rsid w:val="0044578B"/>
    <w:rsid w:val="004475F2"/>
    <w:rsid w:val="00447989"/>
    <w:rsid w:val="004479CE"/>
    <w:rsid w:val="00447A91"/>
    <w:rsid w:val="00447EB5"/>
    <w:rsid w:val="0045013F"/>
    <w:rsid w:val="00450C26"/>
    <w:rsid w:val="0045382D"/>
    <w:rsid w:val="004572F4"/>
    <w:rsid w:val="004622CD"/>
    <w:rsid w:val="00464F5F"/>
    <w:rsid w:val="00465163"/>
    <w:rsid w:val="0046719E"/>
    <w:rsid w:val="004677D4"/>
    <w:rsid w:val="004754CD"/>
    <w:rsid w:val="00475A53"/>
    <w:rsid w:val="00476BDC"/>
    <w:rsid w:val="00477450"/>
    <w:rsid w:val="00477F5D"/>
    <w:rsid w:val="00480421"/>
    <w:rsid w:val="00480538"/>
    <w:rsid w:val="00481035"/>
    <w:rsid w:val="004865E0"/>
    <w:rsid w:val="00490B21"/>
    <w:rsid w:val="00492D72"/>
    <w:rsid w:val="0049682F"/>
    <w:rsid w:val="004A0E9E"/>
    <w:rsid w:val="004A0FB1"/>
    <w:rsid w:val="004A4106"/>
    <w:rsid w:val="004B3DDD"/>
    <w:rsid w:val="004B5E6F"/>
    <w:rsid w:val="004C1782"/>
    <w:rsid w:val="004C1826"/>
    <w:rsid w:val="004C1BAB"/>
    <w:rsid w:val="004C597F"/>
    <w:rsid w:val="004C5D6E"/>
    <w:rsid w:val="004C76DA"/>
    <w:rsid w:val="004D3011"/>
    <w:rsid w:val="004D5035"/>
    <w:rsid w:val="004D7517"/>
    <w:rsid w:val="004E49DD"/>
    <w:rsid w:val="004F18BB"/>
    <w:rsid w:val="004F4657"/>
    <w:rsid w:val="004F478C"/>
    <w:rsid w:val="004F5D9E"/>
    <w:rsid w:val="004F6B1B"/>
    <w:rsid w:val="004F7E7E"/>
    <w:rsid w:val="00500853"/>
    <w:rsid w:val="00500EEE"/>
    <w:rsid w:val="00502A2A"/>
    <w:rsid w:val="0050382C"/>
    <w:rsid w:val="00507DF9"/>
    <w:rsid w:val="00507FD8"/>
    <w:rsid w:val="00510A71"/>
    <w:rsid w:val="0051110A"/>
    <w:rsid w:val="00511BD2"/>
    <w:rsid w:val="005121CB"/>
    <w:rsid w:val="00516BD0"/>
    <w:rsid w:val="005175E1"/>
    <w:rsid w:val="00521805"/>
    <w:rsid w:val="00521CFA"/>
    <w:rsid w:val="0052354E"/>
    <w:rsid w:val="00524726"/>
    <w:rsid w:val="005266AE"/>
    <w:rsid w:val="00530DE3"/>
    <w:rsid w:val="005312F3"/>
    <w:rsid w:val="00532868"/>
    <w:rsid w:val="00540D01"/>
    <w:rsid w:val="00544D51"/>
    <w:rsid w:val="00545390"/>
    <w:rsid w:val="005454A5"/>
    <w:rsid w:val="00545FF1"/>
    <w:rsid w:val="00546C2B"/>
    <w:rsid w:val="00547FF2"/>
    <w:rsid w:val="00551F63"/>
    <w:rsid w:val="00552A41"/>
    <w:rsid w:val="00554911"/>
    <w:rsid w:val="00556818"/>
    <w:rsid w:val="005618AC"/>
    <w:rsid w:val="0056312B"/>
    <w:rsid w:val="00564B91"/>
    <w:rsid w:val="00565688"/>
    <w:rsid w:val="00565730"/>
    <w:rsid w:val="00565A53"/>
    <w:rsid w:val="00566B35"/>
    <w:rsid w:val="0057587A"/>
    <w:rsid w:val="00577741"/>
    <w:rsid w:val="00582C5C"/>
    <w:rsid w:val="005830A9"/>
    <w:rsid w:val="005831BD"/>
    <w:rsid w:val="005855F1"/>
    <w:rsid w:val="00585A34"/>
    <w:rsid w:val="005878C7"/>
    <w:rsid w:val="00591C4C"/>
    <w:rsid w:val="0059590C"/>
    <w:rsid w:val="005A0A92"/>
    <w:rsid w:val="005A0B5B"/>
    <w:rsid w:val="005A0FDE"/>
    <w:rsid w:val="005A4121"/>
    <w:rsid w:val="005A4C7B"/>
    <w:rsid w:val="005A600B"/>
    <w:rsid w:val="005B2C19"/>
    <w:rsid w:val="005B4534"/>
    <w:rsid w:val="005B4A3A"/>
    <w:rsid w:val="005B7409"/>
    <w:rsid w:val="005B7704"/>
    <w:rsid w:val="005D214C"/>
    <w:rsid w:val="005D267C"/>
    <w:rsid w:val="005D44B3"/>
    <w:rsid w:val="005D47F4"/>
    <w:rsid w:val="005D5A2A"/>
    <w:rsid w:val="005D60B8"/>
    <w:rsid w:val="005D6746"/>
    <w:rsid w:val="005E4833"/>
    <w:rsid w:val="005E7453"/>
    <w:rsid w:val="005F37E1"/>
    <w:rsid w:val="00603CB0"/>
    <w:rsid w:val="00603CD9"/>
    <w:rsid w:val="00604F52"/>
    <w:rsid w:val="00614EA1"/>
    <w:rsid w:val="0061524E"/>
    <w:rsid w:val="006170E7"/>
    <w:rsid w:val="006173DF"/>
    <w:rsid w:val="006206F6"/>
    <w:rsid w:val="00622035"/>
    <w:rsid w:val="006252E9"/>
    <w:rsid w:val="006269BC"/>
    <w:rsid w:val="006269BF"/>
    <w:rsid w:val="00631B9C"/>
    <w:rsid w:val="00631DE0"/>
    <w:rsid w:val="00637282"/>
    <w:rsid w:val="00637968"/>
    <w:rsid w:val="00640532"/>
    <w:rsid w:val="00640A46"/>
    <w:rsid w:val="00642C40"/>
    <w:rsid w:val="006507C4"/>
    <w:rsid w:val="006510AA"/>
    <w:rsid w:val="00653036"/>
    <w:rsid w:val="0065516F"/>
    <w:rsid w:val="006558F3"/>
    <w:rsid w:val="006573A2"/>
    <w:rsid w:val="0066377E"/>
    <w:rsid w:val="00665F3D"/>
    <w:rsid w:val="00666CFA"/>
    <w:rsid w:val="0066765A"/>
    <w:rsid w:val="00675B43"/>
    <w:rsid w:val="00683BB4"/>
    <w:rsid w:val="0068687C"/>
    <w:rsid w:val="00687C2B"/>
    <w:rsid w:val="006929B3"/>
    <w:rsid w:val="00695874"/>
    <w:rsid w:val="00695CCA"/>
    <w:rsid w:val="006961C9"/>
    <w:rsid w:val="0069631A"/>
    <w:rsid w:val="00696A30"/>
    <w:rsid w:val="006A02A5"/>
    <w:rsid w:val="006A06B0"/>
    <w:rsid w:val="006A1BA4"/>
    <w:rsid w:val="006A64F5"/>
    <w:rsid w:val="006A6E57"/>
    <w:rsid w:val="006A6E6A"/>
    <w:rsid w:val="006B30E8"/>
    <w:rsid w:val="006B65FC"/>
    <w:rsid w:val="006B6C20"/>
    <w:rsid w:val="006C0E56"/>
    <w:rsid w:val="006C2727"/>
    <w:rsid w:val="006C7222"/>
    <w:rsid w:val="006C7C81"/>
    <w:rsid w:val="006C7CEF"/>
    <w:rsid w:val="006D1758"/>
    <w:rsid w:val="006D24EF"/>
    <w:rsid w:val="006D6BFA"/>
    <w:rsid w:val="006D7114"/>
    <w:rsid w:val="006E5C3E"/>
    <w:rsid w:val="006E735B"/>
    <w:rsid w:val="006E7DC8"/>
    <w:rsid w:val="006F3D50"/>
    <w:rsid w:val="006F67AF"/>
    <w:rsid w:val="007021D8"/>
    <w:rsid w:val="00703AB8"/>
    <w:rsid w:val="00704756"/>
    <w:rsid w:val="007049A6"/>
    <w:rsid w:val="00704D38"/>
    <w:rsid w:val="0070517B"/>
    <w:rsid w:val="007076A4"/>
    <w:rsid w:val="00711F73"/>
    <w:rsid w:val="00715CA4"/>
    <w:rsid w:val="00722C47"/>
    <w:rsid w:val="00723ACC"/>
    <w:rsid w:val="00726051"/>
    <w:rsid w:val="00730405"/>
    <w:rsid w:val="00732C07"/>
    <w:rsid w:val="0074177D"/>
    <w:rsid w:val="00742AA1"/>
    <w:rsid w:val="007431CE"/>
    <w:rsid w:val="00745CE8"/>
    <w:rsid w:val="00747C16"/>
    <w:rsid w:val="0075516E"/>
    <w:rsid w:val="0075639E"/>
    <w:rsid w:val="0076068F"/>
    <w:rsid w:val="00761355"/>
    <w:rsid w:val="00761D9A"/>
    <w:rsid w:val="00766252"/>
    <w:rsid w:val="0077346F"/>
    <w:rsid w:val="00776755"/>
    <w:rsid w:val="00777A6A"/>
    <w:rsid w:val="00785429"/>
    <w:rsid w:val="00785AB9"/>
    <w:rsid w:val="00790D52"/>
    <w:rsid w:val="00791325"/>
    <w:rsid w:val="00791955"/>
    <w:rsid w:val="0079591A"/>
    <w:rsid w:val="007A4F5A"/>
    <w:rsid w:val="007A598B"/>
    <w:rsid w:val="007B4B89"/>
    <w:rsid w:val="007B51A8"/>
    <w:rsid w:val="007C0630"/>
    <w:rsid w:val="007C3F3E"/>
    <w:rsid w:val="007C4D1B"/>
    <w:rsid w:val="007D6BF0"/>
    <w:rsid w:val="007E003D"/>
    <w:rsid w:val="007E0C04"/>
    <w:rsid w:val="007F26A0"/>
    <w:rsid w:val="007F4379"/>
    <w:rsid w:val="007F4BBA"/>
    <w:rsid w:val="007F75E9"/>
    <w:rsid w:val="00800E90"/>
    <w:rsid w:val="0080127F"/>
    <w:rsid w:val="0080649F"/>
    <w:rsid w:val="00806691"/>
    <w:rsid w:val="0081019C"/>
    <w:rsid w:val="00810EF0"/>
    <w:rsid w:val="00815AF0"/>
    <w:rsid w:val="0081723A"/>
    <w:rsid w:val="00821110"/>
    <w:rsid w:val="008258A9"/>
    <w:rsid w:val="00827A89"/>
    <w:rsid w:val="00831F53"/>
    <w:rsid w:val="00840301"/>
    <w:rsid w:val="008415B2"/>
    <w:rsid w:val="00843B00"/>
    <w:rsid w:val="008442FF"/>
    <w:rsid w:val="008510BA"/>
    <w:rsid w:val="0085156F"/>
    <w:rsid w:val="008521D9"/>
    <w:rsid w:val="0085434E"/>
    <w:rsid w:val="00854A7D"/>
    <w:rsid w:val="00860637"/>
    <w:rsid w:val="00860A7F"/>
    <w:rsid w:val="00861CFB"/>
    <w:rsid w:val="0086245A"/>
    <w:rsid w:val="00862C04"/>
    <w:rsid w:val="008720DE"/>
    <w:rsid w:val="00882E03"/>
    <w:rsid w:val="0088462A"/>
    <w:rsid w:val="00887BFA"/>
    <w:rsid w:val="00895FAB"/>
    <w:rsid w:val="008A0472"/>
    <w:rsid w:val="008A1B52"/>
    <w:rsid w:val="008A25A7"/>
    <w:rsid w:val="008A27B6"/>
    <w:rsid w:val="008A3282"/>
    <w:rsid w:val="008A63BC"/>
    <w:rsid w:val="008B0798"/>
    <w:rsid w:val="008B2269"/>
    <w:rsid w:val="008B37C4"/>
    <w:rsid w:val="008B4509"/>
    <w:rsid w:val="008B63C3"/>
    <w:rsid w:val="008C323D"/>
    <w:rsid w:val="008C3575"/>
    <w:rsid w:val="008C44A4"/>
    <w:rsid w:val="008C4D69"/>
    <w:rsid w:val="008C53F6"/>
    <w:rsid w:val="008C5CC8"/>
    <w:rsid w:val="008C697F"/>
    <w:rsid w:val="008D0A29"/>
    <w:rsid w:val="008D2646"/>
    <w:rsid w:val="008D4F85"/>
    <w:rsid w:val="008E240A"/>
    <w:rsid w:val="008E5F04"/>
    <w:rsid w:val="008E73EC"/>
    <w:rsid w:val="008E7C36"/>
    <w:rsid w:val="008F19BE"/>
    <w:rsid w:val="008F26EE"/>
    <w:rsid w:val="008F28F3"/>
    <w:rsid w:val="008F51BB"/>
    <w:rsid w:val="00900BB4"/>
    <w:rsid w:val="00901843"/>
    <w:rsid w:val="00901C0D"/>
    <w:rsid w:val="00905700"/>
    <w:rsid w:val="00906796"/>
    <w:rsid w:val="009174F8"/>
    <w:rsid w:val="00923D3E"/>
    <w:rsid w:val="0092786D"/>
    <w:rsid w:val="00931C62"/>
    <w:rsid w:val="00934567"/>
    <w:rsid w:val="00935ABF"/>
    <w:rsid w:val="00937F61"/>
    <w:rsid w:val="00941630"/>
    <w:rsid w:val="0094290A"/>
    <w:rsid w:val="00945C17"/>
    <w:rsid w:val="00952DE0"/>
    <w:rsid w:val="00953F8F"/>
    <w:rsid w:val="009555C1"/>
    <w:rsid w:val="00956FD8"/>
    <w:rsid w:val="00960E89"/>
    <w:rsid w:val="00962203"/>
    <w:rsid w:val="009630C2"/>
    <w:rsid w:val="009635A0"/>
    <w:rsid w:val="00964384"/>
    <w:rsid w:val="009671C6"/>
    <w:rsid w:val="009734FF"/>
    <w:rsid w:val="0097450E"/>
    <w:rsid w:val="00977208"/>
    <w:rsid w:val="00983022"/>
    <w:rsid w:val="00983881"/>
    <w:rsid w:val="00990B41"/>
    <w:rsid w:val="009933AF"/>
    <w:rsid w:val="00995F78"/>
    <w:rsid w:val="009A0A76"/>
    <w:rsid w:val="009A15D3"/>
    <w:rsid w:val="009A3619"/>
    <w:rsid w:val="009B211C"/>
    <w:rsid w:val="009B371B"/>
    <w:rsid w:val="009C23D9"/>
    <w:rsid w:val="009C2B45"/>
    <w:rsid w:val="009C722C"/>
    <w:rsid w:val="009C725E"/>
    <w:rsid w:val="009C763A"/>
    <w:rsid w:val="009C7D88"/>
    <w:rsid w:val="009D121D"/>
    <w:rsid w:val="009D4F1A"/>
    <w:rsid w:val="009D560C"/>
    <w:rsid w:val="009D629D"/>
    <w:rsid w:val="009D63F9"/>
    <w:rsid w:val="009D676C"/>
    <w:rsid w:val="009E06B1"/>
    <w:rsid w:val="009E2338"/>
    <w:rsid w:val="009E7677"/>
    <w:rsid w:val="009E7F30"/>
    <w:rsid w:val="009F4D52"/>
    <w:rsid w:val="009F5224"/>
    <w:rsid w:val="009F5A0A"/>
    <w:rsid w:val="009F79BC"/>
    <w:rsid w:val="00A05488"/>
    <w:rsid w:val="00A106CF"/>
    <w:rsid w:val="00A1522B"/>
    <w:rsid w:val="00A2001D"/>
    <w:rsid w:val="00A242A1"/>
    <w:rsid w:val="00A24EE6"/>
    <w:rsid w:val="00A32C7A"/>
    <w:rsid w:val="00A36E69"/>
    <w:rsid w:val="00A402C6"/>
    <w:rsid w:val="00A40DE4"/>
    <w:rsid w:val="00A5022D"/>
    <w:rsid w:val="00A50242"/>
    <w:rsid w:val="00A5378C"/>
    <w:rsid w:val="00A54F50"/>
    <w:rsid w:val="00A60708"/>
    <w:rsid w:val="00A60DEB"/>
    <w:rsid w:val="00A61248"/>
    <w:rsid w:val="00A67132"/>
    <w:rsid w:val="00A7352B"/>
    <w:rsid w:val="00A737D5"/>
    <w:rsid w:val="00A7483F"/>
    <w:rsid w:val="00A76D5C"/>
    <w:rsid w:val="00A845AC"/>
    <w:rsid w:val="00A85419"/>
    <w:rsid w:val="00A87B68"/>
    <w:rsid w:val="00A87BD4"/>
    <w:rsid w:val="00A87D81"/>
    <w:rsid w:val="00A9238B"/>
    <w:rsid w:val="00A9278F"/>
    <w:rsid w:val="00A944F8"/>
    <w:rsid w:val="00AA1B44"/>
    <w:rsid w:val="00AA2A45"/>
    <w:rsid w:val="00AA2BDF"/>
    <w:rsid w:val="00AA4AE5"/>
    <w:rsid w:val="00AA5BF2"/>
    <w:rsid w:val="00AB1A41"/>
    <w:rsid w:val="00AB30A6"/>
    <w:rsid w:val="00AB4501"/>
    <w:rsid w:val="00AB5A98"/>
    <w:rsid w:val="00AD0B66"/>
    <w:rsid w:val="00AD2C73"/>
    <w:rsid w:val="00AD34C8"/>
    <w:rsid w:val="00AD4005"/>
    <w:rsid w:val="00AD5E5C"/>
    <w:rsid w:val="00AD6ADD"/>
    <w:rsid w:val="00AD7CBF"/>
    <w:rsid w:val="00AE1E70"/>
    <w:rsid w:val="00AE1F17"/>
    <w:rsid w:val="00AE432F"/>
    <w:rsid w:val="00AE4CAD"/>
    <w:rsid w:val="00AE5B3F"/>
    <w:rsid w:val="00AF0545"/>
    <w:rsid w:val="00AF1D1A"/>
    <w:rsid w:val="00AF2BCB"/>
    <w:rsid w:val="00AF3C3A"/>
    <w:rsid w:val="00AF66FB"/>
    <w:rsid w:val="00B00538"/>
    <w:rsid w:val="00B02EA8"/>
    <w:rsid w:val="00B03086"/>
    <w:rsid w:val="00B04114"/>
    <w:rsid w:val="00B060A3"/>
    <w:rsid w:val="00B07144"/>
    <w:rsid w:val="00B07BB9"/>
    <w:rsid w:val="00B105A0"/>
    <w:rsid w:val="00B12EC6"/>
    <w:rsid w:val="00B13459"/>
    <w:rsid w:val="00B14599"/>
    <w:rsid w:val="00B15A60"/>
    <w:rsid w:val="00B175FC"/>
    <w:rsid w:val="00B2167A"/>
    <w:rsid w:val="00B21FD6"/>
    <w:rsid w:val="00B24EF8"/>
    <w:rsid w:val="00B26389"/>
    <w:rsid w:val="00B30021"/>
    <w:rsid w:val="00B33243"/>
    <w:rsid w:val="00B4125C"/>
    <w:rsid w:val="00B41963"/>
    <w:rsid w:val="00B42853"/>
    <w:rsid w:val="00B4315D"/>
    <w:rsid w:val="00B433F1"/>
    <w:rsid w:val="00B4484D"/>
    <w:rsid w:val="00B462A8"/>
    <w:rsid w:val="00B474FF"/>
    <w:rsid w:val="00B504A9"/>
    <w:rsid w:val="00B50C42"/>
    <w:rsid w:val="00B53042"/>
    <w:rsid w:val="00B537F2"/>
    <w:rsid w:val="00B669DE"/>
    <w:rsid w:val="00B702A5"/>
    <w:rsid w:val="00B71FB6"/>
    <w:rsid w:val="00B74FBA"/>
    <w:rsid w:val="00B77D08"/>
    <w:rsid w:val="00B8425B"/>
    <w:rsid w:val="00B8444C"/>
    <w:rsid w:val="00B8495D"/>
    <w:rsid w:val="00B854A2"/>
    <w:rsid w:val="00B86552"/>
    <w:rsid w:val="00B87E46"/>
    <w:rsid w:val="00B94C4B"/>
    <w:rsid w:val="00B953D5"/>
    <w:rsid w:val="00B95841"/>
    <w:rsid w:val="00B95EBE"/>
    <w:rsid w:val="00BA0515"/>
    <w:rsid w:val="00BA33F3"/>
    <w:rsid w:val="00BA4EEF"/>
    <w:rsid w:val="00BA7FAC"/>
    <w:rsid w:val="00BB2573"/>
    <w:rsid w:val="00BB4DE2"/>
    <w:rsid w:val="00BB7878"/>
    <w:rsid w:val="00BB7E74"/>
    <w:rsid w:val="00BC1F29"/>
    <w:rsid w:val="00BC2569"/>
    <w:rsid w:val="00BC41F7"/>
    <w:rsid w:val="00BC6130"/>
    <w:rsid w:val="00BD1695"/>
    <w:rsid w:val="00BD21ED"/>
    <w:rsid w:val="00BD441E"/>
    <w:rsid w:val="00BD63A7"/>
    <w:rsid w:val="00BD75F2"/>
    <w:rsid w:val="00BF7963"/>
    <w:rsid w:val="00C01D2A"/>
    <w:rsid w:val="00C02C18"/>
    <w:rsid w:val="00C03C3E"/>
    <w:rsid w:val="00C10271"/>
    <w:rsid w:val="00C107E1"/>
    <w:rsid w:val="00C13A65"/>
    <w:rsid w:val="00C13EA5"/>
    <w:rsid w:val="00C149C9"/>
    <w:rsid w:val="00C179CF"/>
    <w:rsid w:val="00C210F3"/>
    <w:rsid w:val="00C222F0"/>
    <w:rsid w:val="00C231DD"/>
    <w:rsid w:val="00C2727E"/>
    <w:rsid w:val="00C27939"/>
    <w:rsid w:val="00C303CB"/>
    <w:rsid w:val="00C37CB5"/>
    <w:rsid w:val="00C44C0F"/>
    <w:rsid w:val="00C4634D"/>
    <w:rsid w:val="00C47A00"/>
    <w:rsid w:val="00C5143F"/>
    <w:rsid w:val="00C53272"/>
    <w:rsid w:val="00C5461D"/>
    <w:rsid w:val="00C57200"/>
    <w:rsid w:val="00C612C3"/>
    <w:rsid w:val="00C62A9B"/>
    <w:rsid w:val="00C63517"/>
    <w:rsid w:val="00C6439D"/>
    <w:rsid w:val="00C6729C"/>
    <w:rsid w:val="00C67ED2"/>
    <w:rsid w:val="00C7051E"/>
    <w:rsid w:val="00C710A2"/>
    <w:rsid w:val="00C72722"/>
    <w:rsid w:val="00C733FF"/>
    <w:rsid w:val="00C77006"/>
    <w:rsid w:val="00C77756"/>
    <w:rsid w:val="00C8195D"/>
    <w:rsid w:val="00C81F7E"/>
    <w:rsid w:val="00C82118"/>
    <w:rsid w:val="00C829D6"/>
    <w:rsid w:val="00C82F57"/>
    <w:rsid w:val="00C84AF6"/>
    <w:rsid w:val="00C87B31"/>
    <w:rsid w:val="00C922BA"/>
    <w:rsid w:val="00C92B5D"/>
    <w:rsid w:val="00C93CB6"/>
    <w:rsid w:val="00C9489F"/>
    <w:rsid w:val="00C953A5"/>
    <w:rsid w:val="00CA0F5F"/>
    <w:rsid w:val="00CA19E2"/>
    <w:rsid w:val="00CA3BC6"/>
    <w:rsid w:val="00CA496F"/>
    <w:rsid w:val="00CA5482"/>
    <w:rsid w:val="00CA5B6A"/>
    <w:rsid w:val="00CB17D5"/>
    <w:rsid w:val="00CB23D6"/>
    <w:rsid w:val="00CB412E"/>
    <w:rsid w:val="00CB4B5A"/>
    <w:rsid w:val="00CB5AB7"/>
    <w:rsid w:val="00CB5DE6"/>
    <w:rsid w:val="00CB7415"/>
    <w:rsid w:val="00CB7C6A"/>
    <w:rsid w:val="00CC18FC"/>
    <w:rsid w:val="00CC528E"/>
    <w:rsid w:val="00CC54D0"/>
    <w:rsid w:val="00CC6DB0"/>
    <w:rsid w:val="00CD3FFE"/>
    <w:rsid w:val="00CD5574"/>
    <w:rsid w:val="00CD793F"/>
    <w:rsid w:val="00CE040D"/>
    <w:rsid w:val="00CE2AE8"/>
    <w:rsid w:val="00CE2C67"/>
    <w:rsid w:val="00CE3CA9"/>
    <w:rsid w:val="00CF36A7"/>
    <w:rsid w:val="00CF5B6F"/>
    <w:rsid w:val="00CF769D"/>
    <w:rsid w:val="00D01A0C"/>
    <w:rsid w:val="00D0221E"/>
    <w:rsid w:val="00D02877"/>
    <w:rsid w:val="00D02F36"/>
    <w:rsid w:val="00D03CF2"/>
    <w:rsid w:val="00D04804"/>
    <w:rsid w:val="00D05E6C"/>
    <w:rsid w:val="00D06955"/>
    <w:rsid w:val="00D07B5D"/>
    <w:rsid w:val="00D1234D"/>
    <w:rsid w:val="00D162D6"/>
    <w:rsid w:val="00D16356"/>
    <w:rsid w:val="00D233E0"/>
    <w:rsid w:val="00D23CC4"/>
    <w:rsid w:val="00D24E2A"/>
    <w:rsid w:val="00D31004"/>
    <w:rsid w:val="00D313B4"/>
    <w:rsid w:val="00D316A5"/>
    <w:rsid w:val="00D32262"/>
    <w:rsid w:val="00D41996"/>
    <w:rsid w:val="00D41C4C"/>
    <w:rsid w:val="00D4530E"/>
    <w:rsid w:val="00D536CB"/>
    <w:rsid w:val="00D55569"/>
    <w:rsid w:val="00D577F8"/>
    <w:rsid w:val="00D60FF3"/>
    <w:rsid w:val="00D61EBE"/>
    <w:rsid w:val="00D65BFA"/>
    <w:rsid w:val="00D67B07"/>
    <w:rsid w:val="00D725BC"/>
    <w:rsid w:val="00D7422A"/>
    <w:rsid w:val="00D76C48"/>
    <w:rsid w:val="00D8056A"/>
    <w:rsid w:val="00D8070D"/>
    <w:rsid w:val="00D813DD"/>
    <w:rsid w:val="00D83F80"/>
    <w:rsid w:val="00D8617A"/>
    <w:rsid w:val="00D8628D"/>
    <w:rsid w:val="00D87BAB"/>
    <w:rsid w:val="00D903C7"/>
    <w:rsid w:val="00D9773C"/>
    <w:rsid w:val="00DA4384"/>
    <w:rsid w:val="00DA4AAA"/>
    <w:rsid w:val="00DA5588"/>
    <w:rsid w:val="00DB356C"/>
    <w:rsid w:val="00DB3B5A"/>
    <w:rsid w:val="00DC046D"/>
    <w:rsid w:val="00DC0EF5"/>
    <w:rsid w:val="00DC3216"/>
    <w:rsid w:val="00DC5FCA"/>
    <w:rsid w:val="00DD1689"/>
    <w:rsid w:val="00DD577B"/>
    <w:rsid w:val="00DE7E4D"/>
    <w:rsid w:val="00DF4EED"/>
    <w:rsid w:val="00DF601B"/>
    <w:rsid w:val="00DF68A7"/>
    <w:rsid w:val="00E04F87"/>
    <w:rsid w:val="00E05FCA"/>
    <w:rsid w:val="00E1494A"/>
    <w:rsid w:val="00E15C87"/>
    <w:rsid w:val="00E15FF2"/>
    <w:rsid w:val="00E1797E"/>
    <w:rsid w:val="00E17CDC"/>
    <w:rsid w:val="00E25283"/>
    <w:rsid w:val="00E37898"/>
    <w:rsid w:val="00E37AE5"/>
    <w:rsid w:val="00E42525"/>
    <w:rsid w:val="00E442D6"/>
    <w:rsid w:val="00E44398"/>
    <w:rsid w:val="00E444E7"/>
    <w:rsid w:val="00E44D47"/>
    <w:rsid w:val="00E46EBD"/>
    <w:rsid w:val="00E47A56"/>
    <w:rsid w:val="00E563B4"/>
    <w:rsid w:val="00E565A5"/>
    <w:rsid w:val="00E56866"/>
    <w:rsid w:val="00E60875"/>
    <w:rsid w:val="00E61087"/>
    <w:rsid w:val="00E61801"/>
    <w:rsid w:val="00E61DF2"/>
    <w:rsid w:val="00E63D20"/>
    <w:rsid w:val="00E65443"/>
    <w:rsid w:val="00E6599D"/>
    <w:rsid w:val="00E66652"/>
    <w:rsid w:val="00E674C4"/>
    <w:rsid w:val="00E678D5"/>
    <w:rsid w:val="00E74152"/>
    <w:rsid w:val="00E75B7B"/>
    <w:rsid w:val="00E8019F"/>
    <w:rsid w:val="00E81B19"/>
    <w:rsid w:val="00E82D2F"/>
    <w:rsid w:val="00E83724"/>
    <w:rsid w:val="00E857B9"/>
    <w:rsid w:val="00E90085"/>
    <w:rsid w:val="00E90658"/>
    <w:rsid w:val="00E94D47"/>
    <w:rsid w:val="00EA06DF"/>
    <w:rsid w:val="00EA70FB"/>
    <w:rsid w:val="00EA78C2"/>
    <w:rsid w:val="00EB0FC0"/>
    <w:rsid w:val="00EB3676"/>
    <w:rsid w:val="00EB3A76"/>
    <w:rsid w:val="00EB6AEC"/>
    <w:rsid w:val="00EB6F31"/>
    <w:rsid w:val="00EC0B42"/>
    <w:rsid w:val="00ED4DFD"/>
    <w:rsid w:val="00ED5C7D"/>
    <w:rsid w:val="00ED610D"/>
    <w:rsid w:val="00ED76AB"/>
    <w:rsid w:val="00EE0A7D"/>
    <w:rsid w:val="00EE128B"/>
    <w:rsid w:val="00EE3C15"/>
    <w:rsid w:val="00EE4677"/>
    <w:rsid w:val="00EE5A48"/>
    <w:rsid w:val="00EE5A57"/>
    <w:rsid w:val="00EF17FF"/>
    <w:rsid w:val="00EF2AD3"/>
    <w:rsid w:val="00F01E22"/>
    <w:rsid w:val="00F023F8"/>
    <w:rsid w:val="00F05C37"/>
    <w:rsid w:val="00F05CBA"/>
    <w:rsid w:val="00F1106D"/>
    <w:rsid w:val="00F11E05"/>
    <w:rsid w:val="00F12009"/>
    <w:rsid w:val="00F22245"/>
    <w:rsid w:val="00F2429F"/>
    <w:rsid w:val="00F302EF"/>
    <w:rsid w:val="00F328D4"/>
    <w:rsid w:val="00F356B2"/>
    <w:rsid w:val="00F3632D"/>
    <w:rsid w:val="00F37F94"/>
    <w:rsid w:val="00F4106D"/>
    <w:rsid w:val="00F4129D"/>
    <w:rsid w:val="00F423D4"/>
    <w:rsid w:val="00F46612"/>
    <w:rsid w:val="00F46AB1"/>
    <w:rsid w:val="00F476C6"/>
    <w:rsid w:val="00F509A4"/>
    <w:rsid w:val="00F51456"/>
    <w:rsid w:val="00F62926"/>
    <w:rsid w:val="00F62D05"/>
    <w:rsid w:val="00F645B7"/>
    <w:rsid w:val="00F72108"/>
    <w:rsid w:val="00F7213F"/>
    <w:rsid w:val="00F81ED7"/>
    <w:rsid w:val="00F879F1"/>
    <w:rsid w:val="00F91BFF"/>
    <w:rsid w:val="00F91D4C"/>
    <w:rsid w:val="00F9557B"/>
    <w:rsid w:val="00F969F0"/>
    <w:rsid w:val="00FA4048"/>
    <w:rsid w:val="00FA482F"/>
    <w:rsid w:val="00FA5EB1"/>
    <w:rsid w:val="00FA67FC"/>
    <w:rsid w:val="00FB0A0C"/>
    <w:rsid w:val="00FB221C"/>
    <w:rsid w:val="00FB2480"/>
    <w:rsid w:val="00FC241B"/>
    <w:rsid w:val="00FC359D"/>
    <w:rsid w:val="00FC35C0"/>
    <w:rsid w:val="00FC72ED"/>
    <w:rsid w:val="00FD0FD9"/>
    <w:rsid w:val="00FD1529"/>
    <w:rsid w:val="00FD16D6"/>
    <w:rsid w:val="00FD5C45"/>
    <w:rsid w:val="00FE2376"/>
    <w:rsid w:val="00FE2DA7"/>
    <w:rsid w:val="00FE6B6D"/>
    <w:rsid w:val="00FF0448"/>
    <w:rsid w:val="00FF42BC"/>
    <w:rsid w:val="00FF74D7"/>
    <w:rsid w:val="02721374"/>
    <w:rsid w:val="04202802"/>
    <w:rsid w:val="047C2706"/>
    <w:rsid w:val="064A0FC2"/>
    <w:rsid w:val="06804EB9"/>
    <w:rsid w:val="07030617"/>
    <w:rsid w:val="074D09DF"/>
    <w:rsid w:val="07812524"/>
    <w:rsid w:val="08EE4BBD"/>
    <w:rsid w:val="09130020"/>
    <w:rsid w:val="09491BC8"/>
    <w:rsid w:val="0A901531"/>
    <w:rsid w:val="0B00391A"/>
    <w:rsid w:val="0CDA7CFA"/>
    <w:rsid w:val="0DF30354"/>
    <w:rsid w:val="0F69741B"/>
    <w:rsid w:val="10AE3B69"/>
    <w:rsid w:val="130370E5"/>
    <w:rsid w:val="1330767C"/>
    <w:rsid w:val="13504410"/>
    <w:rsid w:val="135D5280"/>
    <w:rsid w:val="14686960"/>
    <w:rsid w:val="14B52807"/>
    <w:rsid w:val="18095344"/>
    <w:rsid w:val="181D4FF9"/>
    <w:rsid w:val="18703552"/>
    <w:rsid w:val="1B637D1F"/>
    <w:rsid w:val="1B736275"/>
    <w:rsid w:val="1BDD0CDA"/>
    <w:rsid w:val="1C545CC0"/>
    <w:rsid w:val="1C6256C4"/>
    <w:rsid w:val="1DCC2CF2"/>
    <w:rsid w:val="1DF24184"/>
    <w:rsid w:val="1E8A260F"/>
    <w:rsid w:val="20BD316F"/>
    <w:rsid w:val="20D678E8"/>
    <w:rsid w:val="21174000"/>
    <w:rsid w:val="21177F62"/>
    <w:rsid w:val="213C20DF"/>
    <w:rsid w:val="23D322D3"/>
    <w:rsid w:val="24127550"/>
    <w:rsid w:val="252F066C"/>
    <w:rsid w:val="27855CF1"/>
    <w:rsid w:val="27E35BEC"/>
    <w:rsid w:val="2838558B"/>
    <w:rsid w:val="29910CF5"/>
    <w:rsid w:val="29C40040"/>
    <w:rsid w:val="2AB3663B"/>
    <w:rsid w:val="2AC868D9"/>
    <w:rsid w:val="2B39251F"/>
    <w:rsid w:val="2BFD39A7"/>
    <w:rsid w:val="2C607DB6"/>
    <w:rsid w:val="2DF779F0"/>
    <w:rsid w:val="2E5749AE"/>
    <w:rsid w:val="2EC658E5"/>
    <w:rsid w:val="2F8E059A"/>
    <w:rsid w:val="301C2600"/>
    <w:rsid w:val="31AA1951"/>
    <w:rsid w:val="31B9703B"/>
    <w:rsid w:val="31FF683B"/>
    <w:rsid w:val="32B6683F"/>
    <w:rsid w:val="32F43383"/>
    <w:rsid w:val="333E5866"/>
    <w:rsid w:val="34292CF1"/>
    <w:rsid w:val="36B556E8"/>
    <w:rsid w:val="372B3AA9"/>
    <w:rsid w:val="388D68D4"/>
    <w:rsid w:val="396F6801"/>
    <w:rsid w:val="39AF57EF"/>
    <w:rsid w:val="3A9B371B"/>
    <w:rsid w:val="3B5C31EF"/>
    <w:rsid w:val="3BB22735"/>
    <w:rsid w:val="3D1A08B2"/>
    <w:rsid w:val="3E300685"/>
    <w:rsid w:val="3ED35D2C"/>
    <w:rsid w:val="3FBE0588"/>
    <w:rsid w:val="417C1546"/>
    <w:rsid w:val="43344564"/>
    <w:rsid w:val="450308A1"/>
    <w:rsid w:val="45BF270C"/>
    <w:rsid w:val="45FD1C42"/>
    <w:rsid w:val="46273A2E"/>
    <w:rsid w:val="479779C7"/>
    <w:rsid w:val="49254683"/>
    <w:rsid w:val="4A9B692B"/>
    <w:rsid w:val="4B702A09"/>
    <w:rsid w:val="4BCF496E"/>
    <w:rsid w:val="4DF86DC8"/>
    <w:rsid w:val="4F973032"/>
    <w:rsid w:val="50E336C1"/>
    <w:rsid w:val="520166CE"/>
    <w:rsid w:val="526A01B2"/>
    <w:rsid w:val="52E066A2"/>
    <w:rsid w:val="52EB1B8D"/>
    <w:rsid w:val="549B4DB8"/>
    <w:rsid w:val="559D4AB5"/>
    <w:rsid w:val="56DA167E"/>
    <w:rsid w:val="574F1830"/>
    <w:rsid w:val="58BF146F"/>
    <w:rsid w:val="58D42FA8"/>
    <w:rsid w:val="58E05F4E"/>
    <w:rsid w:val="590674FD"/>
    <w:rsid w:val="595168E4"/>
    <w:rsid w:val="5AED72F3"/>
    <w:rsid w:val="5B8A1E9D"/>
    <w:rsid w:val="5DE55635"/>
    <w:rsid w:val="5E3C5A86"/>
    <w:rsid w:val="5E4E48A9"/>
    <w:rsid w:val="5E4E6EE6"/>
    <w:rsid w:val="5EB17043"/>
    <w:rsid w:val="60246DC6"/>
    <w:rsid w:val="60F95496"/>
    <w:rsid w:val="62173786"/>
    <w:rsid w:val="62A0377C"/>
    <w:rsid w:val="63B1188E"/>
    <w:rsid w:val="646D1B4F"/>
    <w:rsid w:val="64980D31"/>
    <w:rsid w:val="653D2227"/>
    <w:rsid w:val="65E4340C"/>
    <w:rsid w:val="67AD0451"/>
    <w:rsid w:val="694E6E5B"/>
    <w:rsid w:val="695D5F23"/>
    <w:rsid w:val="6A280807"/>
    <w:rsid w:val="6AE72F93"/>
    <w:rsid w:val="6BF36128"/>
    <w:rsid w:val="6D090170"/>
    <w:rsid w:val="6F243938"/>
    <w:rsid w:val="6F303077"/>
    <w:rsid w:val="6F7B005D"/>
    <w:rsid w:val="704F01A7"/>
    <w:rsid w:val="706B361B"/>
    <w:rsid w:val="718D136F"/>
    <w:rsid w:val="75A14F4A"/>
    <w:rsid w:val="75C472A9"/>
    <w:rsid w:val="775040E8"/>
    <w:rsid w:val="787E1AB9"/>
    <w:rsid w:val="78EF3F0B"/>
    <w:rsid w:val="79645643"/>
    <w:rsid w:val="7A823D4C"/>
    <w:rsid w:val="7D466315"/>
    <w:rsid w:val="7DDA72F0"/>
    <w:rsid w:val="7E5A4CCF"/>
    <w:rsid w:val="7E9957F7"/>
    <w:rsid w:val="7EC87E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8" w:lineRule="auto"/>
      <w:jc w:val="center"/>
      <w:outlineLvl w:val="0"/>
    </w:pPr>
    <w:rPr>
      <w:rFonts w:eastAsia="仿宋_GB2312"/>
      <w:b/>
      <w:bCs/>
      <w:kern w:val="44"/>
      <w:sz w:val="36"/>
      <w:szCs w:val="44"/>
    </w:rPr>
  </w:style>
  <w:style w:type="paragraph" w:styleId="5">
    <w:name w:val="heading 2"/>
    <w:basedOn w:val="1"/>
    <w:next w:val="1"/>
    <w:qFormat/>
    <w:uiPriority w:val="0"/>
    <w:pPr>
      <w:keepNext/>
      <w:tabs>
        <w:tab w:val="left" w:pos="360"/>
      </w:tabs>
      <w:spacing w:line="700" w:lineRule="exact"/>
      <w:ind w:left="360" w:hanging="360"/>
      <w:jc w:val="center"/>
      <w:outlineLvl w:val="1"/>
    </w:pPr>
    <w:rPr>
      <w:rFonts w:ascii="宋体" w:hAnsi="宋体"/>
      <w:b/>
      <w:bCs/>
      <w:sz w:val="22"/>
    </w:rPr>
  </w:style>
  <w:style w:type="paragraph" w:styleId="6">
    <w:name w:val="heading 3"/>
    <w:basedOn w:val="1"/>
    <w:next w:val="1"/>
    <w:qFormat/>
    <w:uiPriority w:val="0"/>
    <w:pPr>
      <w:keepNext/>
      <w:keepLines/>
      <w:jc w:val="center"/>
      <w:outlineLvl w:val="2"/>
    </w:pPr>
    <w:rPr>
      <w:rFonts w:eastAsia="仿宋_GB2312"/>
      <w:bCs/>
      <w:sz w:val="28"/>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qFormat/>
    <w:uiPriority w:val="0"/>
    <w:pPr>
      <w:snapToGrid w:val="0"/>
      <w:jc w:val="left"/>
    </w:pPr>
    <w:rPr>
      <w:rFonts w:ascii="宋体" w:eastAsia="Times New Roman"/>
      <w:snapToGrid w:val="0"/>
      <w:kern w:val="21"/>
      <w:sz w:val="18"/>
      <w:szCs w:val="18"/>
    </w:rPr>
  </w:style>
  <w:style w:type="paragraph" w:styleId="3">
    <w:name w:val="index 5"/>
    <w:basedOn w:val="1"/>
    <w:next w:val="1"/>
    <w:qFormat/>
    <w:uiPriority w:val="0"/>
    <w:pPr>
      <w:ind w:left="798" w:leftChars="380"/>
      <w:jc w:val="left"/>
    </w:pPr>
    <w:rPr>
      <w:rFonts w:ascii="Calibri" w:hAnsi="Calibri"/>
      <w:sz w:val="21"/>
    </w:rPr>
  </w:style>
  <w:style w:type="paragraph" w:styleId="7">
    <w:name w:val="Normal Indent"/>
    <w:basedOn w:val="1"/>
    <w:qFormat/>
    <w:uiPriority w:val="0"/>
    <w:pPr>
      <w:adjustRightInd w:val="0"/>
      <w:spacing w:line="360" w:lineRule="atLeast"/>
      <w:ind w:firstLine="482"/>
      <w:textAlignment w:val="baseline"/>
    </w:pPr>
    <w:rPr>
      <w:kern w:val="0"/>
      <w:sz w:val="24"/>
    </w:rPr>
  </w:style>
  <w:style w:type="paragraph" w:styleId="8">
    <w:name w:val="Document Map"/>
    <w:basedOn w:val="1"/>
    <w:semiHidden/>
    <w:qFormat/>
    <w:uiPriority w:val="0"/>
    <w:pPr>
      <w:shd w:val="clear" w:color="auto" w:fill="000080"/>
    </w:pPr>
  </w:style>
  <w:style w:type="paragraph" w:styleId="9">
    <w:name w:val="annotation text"/>
    <w:basedOn w:val="1"/>
    <w:link w:val="56"/>
    <w:qFormat/>
    <w:uiPriority w:val="0"/>
    <w:pPr>
      <w:jc w:val="left"/>
    </w:pPr>
    <w:rPr>
      <w:kern w:val="0"/>
      <w:sz w:val="20"/>
    </w:rPr>
  </w:style>
  <w:style w:type="paragraph" w:styleId="10">
    <w:name w:val="Body Text"/>
    <w:basedOn w:val="1"/>
    <w:next w:val="1"/>
    <w:qFormat/>
    <w:uiPriority w:val="0"/>
    <w:pPr>
      <w:spacing w:after="120"/>
    </w:pPr>
  </w:style>
  <w:style w:type="paragraph" w:styleId="11">
    <w:name w:val="Body Text Indent"/>
    <w:basedOn w:val="1"/>
    <w:qFormat/>
    <w:uiPriority w:val="0"/>
    <w:pPr>
      <w:spacing w:line="360" w:lineRule="auto"/>
      <w:ind w:firstLine="500" w:firstLineChars="200"/>
    </w:pPr>
    <w:rPr>
      <w:rFonts w:eastAsia="仿宋_GB2312"/>
      <w:sz w:val="25"/>
    </w:rPr>
  </w:style>
  <w:style w:type="paragraph" w:styleId="12">
    <w:name w:val="Block Text"/>
    <w:basedOn w:val="1"/>
    <w:qFormat/>
    <w:uiPriority w:val="0"/>
    <w:pPr>
      <w:spacing w:line="400" w:lineRule="exact"/>
      <w:ind w:left="2" w:leftChars="1" w:right="693" w:rightChars="330" w:firstLine="600" w:firstLineChars="200"/>
    </w:pPr>
    <w:rPr>
      <w:rFonts w:ascii="宋体" w:hAnsi="宋体"/>
      <w:sz w:val="30"/>
    </w:rPr>
  </w:style>
  <w:style w:type="paragraph" w:styleId="13">
    <w:name w:val="Plain Text"/>
    <w:basedOn w:val="1"/>
    <w:link w:val="69"/>
    <w:qFormat/>
    <w:uiPriority w:val="0"/>
    <w:rPr>
      <w:rFonts w:ascii="宋体" w:hAnsi="Courier New"/>
      <w:szCs w:val="20"/>
    </w:rPr>
  </w:style>
  <w:style w:type="paragraph" w:styleId="14">
    <w:name w:val="Date"/>
    <w:basedOn w:val="1"/>
    <w:next w:val="1"/>
    <w:qFormat/>
    <w:uiPriority w:val="0"/>
    <w:pPr>
      <w:ind w:left="100" w:leftChars="2500"/>
    </w:pPr>
  </w:style>
  <w:style w:type="paragraph" w:styleId="15">
    <w:name w:val="Balloon Text"/>
    <w:basedOn w:val="1"/>
    <w:link w:val="68"/>
    <w:qFormat/>
    <w:uiPriority w:val="0"/>
    <w:rPr>
      <w:sz w:val="18"/>
      <w:szCs w:val="18"/>
    </w:rPr>
  </w:style>
  <w:style w:type="paragraph" w:styleId="16">
    <w:name w:val="footer"/>
    <w:basedOn w:val="1"/>
    <w:link w:val="72"/>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semiHidden/>
    <w:qFormat/>
    <w:uiPriority w:val="0"/>
    <w:pPr>
      <w:tabs>
        <w:tab w:val="right" w:leader="dot" w:pos="8296"/>
      </w:tabs>
      <w:adjustRightInd w:val="0"/>
      <w:snapToGrid w:val="0"/>
      <w:spacing w:line="480" w:lineRule="auto"/>
      <w:jc w:val="center"/>
    </w:pPr>
    <w:rPr>
      <w:rFonts w:eastAsia="仿宋_GB2312"/>
      <w:color w:val="000000"/>
      <w:sz w:val="24"/>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10"/>
    <w:pPr>
      <w:numPr>
        <w:ilvl w:val="0"/>
        <w:numId w:val="1"/>
      </w:numPr>
      <w:spacing w:line="240" w:lineRule="exact"/>
      <w:outlineLvl w:val="0"/>
    </w:pPr>
    <w:rPr>
      <w:rFonts w:asciiTheme="majorHAnsi" w:hAnsiTheme="majorHAnsi" w:cstheme="majorBidi"/>
      <w:bCs/>
      <w:szCs w:val="32"/>
    </w:rPr>
  </w:style>
  <w:style w:type="paragraph" w:styleId="21">
    <w:name w:val="annotation subject"/>
    <w:basedOn w:val="9"/>
    <w:next w:val="9"/>
    <w:link w:val="67"/>
    <w:qFormat/>
    <w:uiPriority w:val="0"/>
    <w:rPr>
      <w:b/>
      <w:bCs/>
      <w:kern w:val="2"/>
      <w:sz w:val="21"/>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qFormat/>
    <w:uiPriority w:val="0"/>
  </w:style>
  <w:style w:type="character" w:styleId="26">
    <w:name w:val="FollowedHyperlink"/>
    <w:basedOn w:val="24"/>
    <w:qFormat/>
    <w:uiPriority w:val="0"/>
    <w:rPr>
      <w:color w:val="136EC2"/>
      <w:u w:val="single"/>
    </w:rPr>
  </w:style>
  <w:style w:type="character" w:styleId="27">
    <w:name w:val="Emphasis"/>
    <w:basedOn w:val="24"/>
    <w:qFormat/>
    <w:uiPriority w:val="0"/>
  </w:style>
  <w:style w:type="character" w:styleId="28">
    <w:name w:val="HTML Definition"/>
    <w:basedOn w:val="24"/>
    <w:qFormat/>
    <w:uiPriority w:val="0"/>
  </w:style>
  <w:style w:type="character" w:styleId="29">
    <w:name w:val="HTML Variable"/>
    <w:basedOn w:val="24"/>
    <w:qFormat/>
    <w:uiPriority w:val="0"/>
  </w:style>
  <w:style w:type="character" w:styleId="30">
    <w:name w:val="Hyperlink"/>
    <w:basedOn w:val="24"/>
    <w:qFormat/>
    <w:uiPriority w:val="0"/>
    <w:rPr>
      <w:rFonts w:hint="eastAsia" w:ascii="宋体" w:hAnsi="宋体" w:eastAsia="宋体" w:cs="宋体"/>
      <w:color w:val="333333"/>
      <w:sz w:val="18"/>
      <w:szCs w:val="18"/>
      <w:u w:val="none"/>
    </w:rPr>
  </w:style>
  <w:style w:type="character" w:styleId="31">
    <w:name w:val="HTML Code"/>
    <w:basedOn w:val="24"/>
    <w:qFormat/>
    <w:uiPriority w:val="0"/>
    <w:rPr>
      <w:rFonts w:ascii="Courier New" w:hAnsi="Courier New" w:eastAsia="Courier New" w:cs="Courier New"/>
      <w:sz w:val="20"/>
    </w:rPr>
  </w:style>
  <w:style w:type="character" w:styleId="32">
    <w:name w:val="annotation reference"/>
    <w:basedOn w:val="24"/>
    <w:qFormat/>
    <w:uiPriority w:val="0"/>
    <w:rPr>
      <w:sz w:val="21"/>
      <w:szCs w:val="21"/>
    </w:rPr>
  </w:style>
  <w:style w:type="character" w:styleId="33">
    <w:name w:val="HTML Cite"/>
    <w:basedOn w:val="24"/>
    <w:qFormat/>
    <w:uiPriority w:val="0"/>
  </w:style>
  <w:style w:type="character" w:styleId="34">
    <w:name w:val="HTML Keyboard"/>
    <w:basedOn w:val="24"/>
    <w:qFormat/>
    <w:uiPriority w:val="0"/>
    <w:rPr>
      <w:rFonts w:ascii="Courier New" w:hAnsi="Courier New" w:eastAsia="Courier New" w:cs="Courier New"/>
      <w:sz w:val="20"/>
    </w:rPr>
  </w:style>
  <w:style w:type="character" w:styleId="35">
    <w:name w:val="HTML Sample"/>
    <w:basedOn w:val="24"/>
    <w:qFormat/>
    <w:uiPriority w:val="0"/>
    <w:rPr>
      <w:rFonts w:ascii="Courier New" w:hAnsi="Courier New" w:eastAsia="Courier New" w:cs="Courier New"/>
    </w:rPr>
  </w:style>
  <w:style w:type="paragraph" w:customStyle="1" w:styleId="36">
    <w:name w:val="文本"/>
    <w:autoRedefine/>
    <w:qFormat/>
    <w:uiPriority w:val="0"/>
    <w:pPr>
      <w:widowControl w:val="0"/>
      <w:wordWrap w:val="0"/>
      <w:spacing w:line="560" w:lineRule="exact"/>
      <w:ind w:firstLine="640" w:firstLineChars="200"/>
    </w:pPr>
    <w:rPr>
      <w:rFonts w:hint="eastAsia" w:ascii="Times New Roman" w:hAnsi="Times New Roman" w:eastAsia="仿宋_GB2312" w:cs="Times New Roman"/>
      <w:kern w:val="0"/>
      <w:sz w:val="32"/>
      <w:szCs w:val="32"/>
    </w:rPr>
  </w:style>
  <w:style w:type="paragraph" w:customStyle="1" w:styleId="37">
    <w:name w:val="无间隔1"/>
    <w:qFormat/>
    <w:uiPriority w:val="0"/>
    <w:rPr>
      <w:rFonts w:ascii="Times New Roman" w:hAnsi="Times New Roman" w:eastAsia="宋体" w:cs="Times New Roman"/>
      <w:sz w:val="22"/>
      <w:szCs w:val="22"/>
      <w:lang w:val="en-US" w:eastAsia="en-US" w:bidi="ar-SA"/>
    </w:rPr>
  </w:style>
  <w:style w:type="paragraph" w:customStyle="1" w:styleId="38">
    <w:name w:val="Fließtext"/>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8"/>
      <w:sz w:val="21"/>
      <w:lang w:val="en-US" w:eastAsia="zh-CN" w:bidi="ar-SA"/>
    </w:rPr>
  </w:style>
  <w:style w:type="character" w:customStyle="1" w:styleId="39">
    <w:name w:val="polysemyred"/>
    <w:basedOn w:val="24"/>
    <w:qFormat/>
    <w:uiPriority w:val="0"/>
    <w:rPr>
      <w:color w:val="FF6666"/>
      <w:sz w:val="18"/>
      <w:szCs w:val="18"/>
    </w:rPr>
  </w:style>
  <w:style w:type="character" w:customStyle="1" w:styleId="40">
    <w:name w:val="批注文字 Char1"/>
    <w:qFormat/>
    <w:uiPriority w:val="0"/>
    <w:rPr>
      <w:szCs w:val="24"/>
    </w:rPr>
  </w:style>
  <w:style w:type="character" w:customStyle="1" w:styleId="41">
    <w:name w:val="sidecatalog-index2"/>
    <w:basedOn w:val="24"/>
    <w:qFormat/>
    <w:uiPriority w:val="0"/>
    <w:rPr>
      <w:rFonts w:ascii="Arial" w:hAnsi="Arial" w:eastAsia="Arial" w:cs="Arial"/>
      <w:color w:val="999999"/>
      <w:sz w:val="21"/>
      <w:szCs w:val="21"/>
    </w:rPr>
  </w:style>
  <w:style w:type="character" w:customStyle="1" w:styleId="42">
    <w:name w:val="sidecatalog-index1"/>
    <w:basedOn w:val="24"/>
    <w:qFormat/>
    <w:uiPriority w:val="0"/>
    <w:rPr>
      <w:rFonts w:ascii="Arial" w:hAnsi="Arial" w:cs="Arial"/>
      <w:b/>
      <w:color w:val="999999"/>
      <w:sz w:val="21"/>
      <w:szCs w:val="21"/>
    </w:rPr>
  </w:style>
  <w:style w:type="character" w:customStyle="1" w:styleId="43">
    <w:name w:val="Char Char"/>
    <w:basedOn w:val="24"/>
    <w:qFormat/>
    <w:uiPriority w:val="0"/>
    <w:rPr>
      <w:rFonts w:ascii="宋体" w:hAnsi="Courier New" w:eastAsia="宋体"/>
      <w:kern w:val="2"/>
      <w:sz w:val="21"/>
      <w:lang w:val="en-US" w:eastAsia="zh-CN" w:bidi="ar-SA"/>
    </w:rPr>
  </w:style>
  <w:style w:type="character" w:customStyle="1" w:styleId="44">
    <w:name w:val="bds_more9"/>
    <w:basedOn w:val="24"/>
    <w:qFormat/>
    <w:uiPriority w:val="0"/>
  </w:style>
  <w:style w:type="character" w:customStyle="1" w:styleId="45">
    <w:name w:val="sidecatalog-dot1"/>
    <w:basedOn w:val="24"/>
    <w:qFormat/>
    <w:uiPriority w:val="0"/>
  </w:style>
  <w:style w:type="character" w:customStyle="1" w:styleId="46">
    <w:name w:val="bds_more8"/>
    <w:basedOn w:val="24"/>
    <w:qFormat/>
    <w:uiPriority w:val="0"/>
  </w:style>
  <w:style w:type="character" w:customStyle="1" w:styleId="47">
    <w:name w:val="morelink-item"/>
    <w:basedOn w:val="24"/>
    <w:qFormat/>
    <w:uiPriority w:val="0"/>
  </w:style>
  <w:style w:type="character" w:customStyle="1" w:styleId="48">
    <w:name w:val="标题3 Char Char"/>
    <w:basedOn w:val="24"/>
    <w:qFormat/>
    <w:uiPriority w:val="0"/>
    <w:rPr>
      <w:rFonts w:eastAsia="仿宋_GB2312"/>
      <w:bCs/>
      <w:kern w:val="2"/>
      <w:sz w:val="28"/>
      <w:szCs w:val="32"/>
      <w:lang w:val="en-US" w:eastAsia="zh-CN" w:bidi="ar-SA"/>
    </w:rPr>
  </w:style>
  <w:style w:type="character" w:customStyle="1" w:styleId="49">
    <w:name w:val="bds_more7"/>
    <w:basedOn w:val="24"/>
    <w:qFormat/>
    <w:uiPriority w:val="0"/>
    <w:rPr>
      <w:rFonts w:hint="eastAsia" w:ascii="宋体" w:hAnsi="宋体" w:eastAsia="宋体" w:cs="宋体"/>
    </w:rPr>
  </w:style>
  <w:style w:type="character" w:customStyle="1" w:styleId="50">
    <w:name w:val="plus"/>
    <w:basedOn w:val="24"/>
    <w:qFormat/>
    <w:uiPriority w:val="0"/>
    <w:rPr>
      <w:b/>
      <w:vanish/>
      <w:color w:val="1F8DEF"/>
      <w:sz w:val="24"/>
      <w:szCs w:val="24"/>
    </w:rPr>
  </w:style>
  <w:style w:type="character" w:customStyle="1" w:styleId="51">
    <w:name w:val="sidecatalog-dot"/>
    <w:basedOn w:val="24"/>
    <w:qFormat/>
    <w:uiPriority w:val="0"/>
  </w:style>
  <w:style w:type="character" w:customStyle="1" w:styleId="52">
    <w:name w:val="sort1"/>
    <w:basedOn w:val="24"/>
    <w:qFormat/>
    <w:uiPriority w:val="0"/>
  </w:style>
  <w:style w:type="character" w:customStyle="1" w:styleId="53">
    <w:name w:val="lemmatitleh12"/>
    <w:basedOn w:val="24"/>
    <w:qFormat/>
    <w:uiPriority w:val="0"/>
  </w:style>
  <w:style w:type="character" w:customStyle="1" w:styleId="54">
    <w:name w:val="desc"/>
    <w:basedOn w:val="24"/>
    <w:qFormat/>
    <w:uiPriority w:val="0"/>
    <w:rPr>
      <w:color w:val="000000"/>
      <w:sz w:val="18"/>
      <w:szCs w:val="18"/>
    </w:rPr>
  </w:style>
  <w:style w:type="character" w:customStyle="1" w:styleId="55">
    <w:name w:val="bds_more5"/>
    <w:basedOn w:val="24"/>
    <w:qFormat/>
    <w:uiPriority w:val="0"/>
  </w:style>
  <w:style w:type="character" w:customStyle="1" w:styleId="56">
    <w:name w:val="批注文字 字符"/>
    <w:basedOn w:val="24"/>
    <w:link w:val="9"/>
    <w:qFormat/>
    <w:uiPriority w:val="0"/>
    <w:rPr>
      <w:kern w:val="2"/>
      <w:sz w:val="21"/>
      <w:szCs w:val="24"/>
    </w:rPr>
  </w:style>
  <w:style w:type="character" w:customStyle="1" w:styleId="57">
    <w:name w:val="polysemyexp"/>
    <w:basedOn w:val="24"/>
    <w:qFormat/>
    <w:uiPriority w:val="0"/>
    <w:rPr>
      <w:color w:val="AAAAAA"/>
      <w:sz w:val="18"/>
      <w:szCs w:val="18"/>
    </w:rPr>
  </w:style>
  <w:style w:type="character" w:customStyle="1" w:styleId="58">
    <w:name w:val="bds_nopic"/>
    <w:basedOn w:val="24"/>
    <w:qFormat/>
    <w:uiPriority w:val="0"/>
  </w:style>
  <w:style w:type="character" w:customStyle="1" w:styleId="59">
    <w:name w:val="sort"/>
    <w:basedOn w:val="24"/>
    <w:qFormat/>
    <w:uiPriority w:val="0"/>
    <w:rPr>
      <w:color w:val="FFFFFF"/>
      <w:bdr w:val="single" w:color="auto" w:sz="24" w:space="0"/>
    </w:rPr>
  </w:style>
  <w:style w:type="character" w:customStyle="1" w:styleId="60">
    <w:name w:val="bds_more6"/>
    <w:basedOn w:val="24"/>
    <w:qFormat/>
    <w:uiPriority w:val="0"/>
  </w:style>
  <w:style w:type="paragraph" w:customStyle="1" w:styleId="61">
    <w:name w:val="标题2"/>
    <w:basedOn w:val="4"/>
    <w:qFormat/>
    <w:uiPriority w:val="0"/>
    <w:rPr>
      <w:color w:val="000000"/>
      <w:sz w:val="32"/>
    </w:rPr>
  </w:style>
  <w:style w:type="paragraph" w:customStyle="1" w:styleId="62">
    <w:name w:val="p0"/>
    <w:basedOn w:val="1"/>
    <w:qFormat/>
    <w:uiPriority w:val="0"/>
    <w:pPr>
      <w:widowControl/>
    </w:pPr>
    <w:rPr>
      <w:kern w:val="0"/>
      <w:szCs w:val="21"/>
    </w:rPr>
  </w:style>
  <w:style w:type="paragraph" w:customStyle="1" w:styleId="63">
    <w:name w:val="批注框文本 Char Char"/>
    <w:basedOn w:val="1"/>
    <w:qFormat/>
    <w:uiPriority w:val="0"/>
    <w:rPr>
      <w:sz w:val="18"/>
      <w:szCs w:val="18"/>
    </w:rPr>
  </w:style>
  <w:style w:type="paragraph" w:customStyle="1" w:styleId="64">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66">
    <w:name w:val="p15"/>
    <w:basedOn w:val="1"/>
    <w:qFormat/>
    <w:uiPriority w:val="0"/>
    <w:pPr>
      <w:widowControl/>
      <w:snapToGrid w:val="0"/>
      <w:spacing w:before="120" w:after="120" w:line="360" w:lineRule="auto"/>
      <w:ind w:firstLine="480"/>
      <w:jc w:val="left"/>
    </w:pPr>
    <w:rPr>
      <w:rFonts w:ascii="Arial" w:hAnsi="Arial" w:cs="Arial"/>
      <w:kern w:val="0"/>
      <w:sz w:val="24"/>
    </w:rPr>
  </w:style>
  <w:style w:type="character" w:customStyle="1" w:styleId="67">
    <w:name w:val="批注主题 字符"/>
    <w:basedOn w:val="40"/>
    <w:link w:val="21"/>
    <w:qFormat/>
    <w:uiPriority w:val="0"/>
    <w:rPr>
      <w:b/>
      <w:bCs/>
      <w:kern w:val="2"/>
      <w:sz w:val="21"/>
      <w:szCs w:val="24"/>
    </w:rPr>
  </w:style>
  <w:style w:type="character" w:customStyle="1" w:styleId="68">
    <w:name w:val="批注框文本 字符"/>
    <w:basedOn w:val="24"/>
    <w:link w:val="15"/>
    <w:qFormat/>
    <w:uiPriority w:val="0"/>
    <w:rPr>
      <w:kern w:val="2"/>
      <w:sz w:val="18"/>
      <w:szCs w:val="18"/>
    </w:rPr>
  </w:style>
  <w:style w:type="character" w:customStyle="1" w:styleId="69">
    <w:name w:val="纯文本 字符"/>
    <w:link w:val="13"/>
    <w:qFormat/>
    <w:uiPriority w:val="0"/>
    <w:rPr>
      <w:rFonts w:ascii="宋体" w:hAnsi="Courier New"/>
      <w:kern w:val="2"/>
      <w:sz w:val="21"/>
    </w:rPr>
  </w:style>
  <w:style w:type="paragraph" w:styleId="70">
    <w:name w:val="List Paragraph"/>
    <w:basedOn w:val="1"/>
    <w:qFormat/>
    <w:uiPriority w:val="99"/>
    <w:pPr>
      <w:ind w:firstLine="420" w:firstLineChars="200"/>
    </w:pPr>
  </w:style>
  <w:style w:type="character" w:customStyle="1" w:styleId="71">
    <w:name w:val="纯文本 字符1"/>
    <w:qFormat/>
    <w:uiPriority w:val="0"/>
    <w:rPr>
      <w:rFonts w:ascii="宋体" w:hAnsi="Courier New"/>
      <w:kern w:val="2"/>
      <w:sz w:val="24"/>
      <w:szCs w:val="21"/>
    </w:rPr>
  </w:style>
  <w:style w:type="character" w:customStyle="1" w:styleId="72">
    <w:name w:val="页脚 字符"/>
    <w:basedOn w:val="24"/>
    <w:link w:val="16"/>
    <w:qFormat/>
    <w:uiPriority w:val="99"/>
    <w:rPr>
      <w:kern w:val="2"/>
      <w:sz w:val="18"/>
      <w:szCs w:val="18"/>
    </w:rPr>
  </w:style>
  <w:style w:type="table" w:customStyle="1" w:styleId="7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F40C07-C558-4999-897A-3178DB534D1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24</Pages>
  <Words>3947</Words>
  <Characters>4183</Characters>
  <Lines>111</Lines>
  <Paragraphs>31</Paragraphs>
  <TotalTime>14</TotalTime>
  <ScaleCrop>false</ScaleCrop>
  <LinksUpToDate>false</LinksUpToDate>
  <CharactersWithSpaces>4186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2024-09-11T02:36:00Z</dcterms:created>
  <dc:creator>liu</dc:creator>
  <cp:lastModifiedBy>Breeze.Yu</cp:lastModifiedBy>
  <cp:lastPrinted>2026-07-01T08:00:00Z</cp:lastPrinted>
  <dcterms:modified xsi:type="dcterms:W3CDTF">2026-07-08T07:56:21Z</dcterms:modified>
  <dc:title>如东县港镇牡丹江路（钟山路-泰山路）工程</dc:title>
  <cp:revision>543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02BADEC5D94E4D73A711F0FB3FA7EA2B_13</vt:lpwstr>
  </property>
  <property fmtid="{D5CDD505-2E9C-101B-9397-08002B2CF9AE}" pid="4" name="KSOTemplateDocerSaveRecord">
    <vt:lpwstr>eyJoZGlkIjoiMGFhMDUzMWEzODAxNmE5MGY3NTVkZDA0ZjBlZjkyOTQiLCJ1c2VySWQiOiI0Mjg4OTE2OTYifQ==</vt:lpwstr>
  </property>
</Properties>
</file>